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982D" w14:textId="77777777" w:rsidR="00C416A4" w:rsidRPr="000616E8" w:rsidRDefault="00C416A4" w:rsidP="00A87F65">
      <w:pPr>
        <w:rPr>
          <w:b/>
          <w:spacing w:val="60"/>
        </w:rPr>
      </w:pPr>
    </w:p>
    <w:p w14:paraId="4685D598" w14:textId="77777777" w:rsidR="000616E8" w:rsidRPr="000616E8" w:rsidRDefault="000616E8" w:rsidP="00A87F65">
      <w:pPr>
        <w:rPr>
          <w:b/>
          <w:spacing w:val="60"/>
        </w:rPr>
      </w:pPr>
    </w:p>
    <w:p w14:paraId="4344ADDF" w14:textId="77777777" w:rsidR="000616E8" w:rsidRPr="000616E8" w:rsidRDefault="000616E8" w:rsidP="00A87F65">
      <w:pPr>
        <w:rPr>
          <w:b/>
          <w:spacing w:val="60"/>
        </w:rPr>
      </w:pPr>
    </w:p>
    <w:p w14:paraId="72A76F9F" w14:textId="77777777" w:rsidR="000616E8" w:rsidRPr="000616E8" w:rsidRDefault="000616E8" w:rsidP="00A87F65">
      <w:pPr>
        <w:rPr>
          <w:b/>
          <w:spacing w:val="60"/>
        </w:rPr>
      </w:pPr>
    </w:p>
    <w:p w14:paraId="0D4CEC96" w14:textId="77777777" w:rsidR="000616E8" w:rsidRDefault="000616E8" w:rsidP="00A87F65">
      <w:pPr>
        <w:rPr>
          <w:b/>
          <w:spacing w:val="60"/>
        </w:rPr>
      </w:pPr>
    </w:p>
    <w:p w14:paraId="4F3C5DA0" w14:textId="77777777" w:rsidR="000616E8" w:rsidRPr="000616E8" w:rsidRDefault="000616E8" w:rsidP="00A87F65">
      <w:pPr>
        <w:rPr>
          <w:b/>
          <w:spacing w:val="60"/>
        </w:rPr>
      </w:pPr>
    </w:p>
    <w:p w14:paraId="2E892330" w14:textId="77777777" w:rsidR="000616E8" w:rsidRPr="000616E8" w:rsidRDefault="000616E8" w:rsidP="00A87F65">
      <w:pPr>
        <w:rPr>
          <w:b/>
          <w:spacing w:val="60"/>
        </w:rPr>
      </w:pPr>
    </w:p>
    <w:p w14:paraId="17DA62D8" w14:textId="77777777" w:rsidR="00CD2103" w:rsidRPr="000616E8" w:rsidRDefault="00CD2103" w:rsidP="00CD2103">
      <w:pPr>
        <w:jc w:val="center"/>
        <w:rPr>
          <w:b/>
          <w:spacing w:val="60"/>
          <w:sz w:val="32"/>
          <w:szCs w:val="32"/>
        </w:rPr>
      </w:pPr>
      <w:r w:rsidRPr="000616E8">
        <w:rPr>
          <w:b/>
          <w:spacing w:val="60"/>
          <w:sz w:val="32"/>
          <w:szCs w:val="32"/>
        </w:rPr>
        <w:t>USNESENÍ</w:t>
      </w:r>
    </w:p>
    <w:p w14:paraId="17DA62D9" w14:textId="77777777" w:rsidR="00CD2103" w:rsidRPr="000616E8" w:rsidRDefault="00CD2103" w:rsidP="00CD2103">
      <w:pPr>
        <w:jc w:val="center"/>
        <w:rPr>
          <w:b/>
        </w:rPr>
      </w:pPr>
    </w:p>
    <w:p w14:paraId="17DA62DA" w14:textId="77777777" w:rsidR="00CD2103" w:rsidRPr="000616E8" w:rsidRDefault="00CD2103" w:rsidP="00CD2103">
      <w:pPr>
        <w:jc w:val="center"/>
        <w:rPr>
          <w:b/>
        </w:rPr>
      </w:pPr>
    </w:p>
    <w:p w14:paraId="18AF24EF" w14:textId="77777777" w:rsidR="000616E8" w:rsidRDefault="000616E8" w:rsidP="00CD2103">
      <w:pPr>
        <w:jc w:val="center"/>
        <w:rPr>
          <w:b/>
        </w:rPr>
      </w:pPr>
    </w:p>
    <w:p w14:paraId="1347750E" w14:textId="77777777" w:rsidR="000616E8" w:rsidRPr="000616E8" w:rsidRDefault="000616E8" w:rsidP="00CD2103">
      <w:pPr>
        <w:jc w:val="center"/>
        <w:rPr>
          <w:b/>
        </w:rPr>
      </w:pPr>
    </w:p>
    <w:p w14:paraId="17DA62DB" w14:textId="4D64D180" w:rsidR="00CD2103" w:rsidRPr="000616E8" w:rsidRDefault="00944444" w:rsidP="00CD2103">
      <w:r w:rsidRPr="000616E8">
        <w:t xml:space="preserve">Nejvyšší správní soud rozhodl </w:t>
      </w:r>
      <w:r w:rsidR="000616E8" w:rsidRPr="000616E8">
        <w:t>v</w:t>
      </w:r>
      <w:r w:rsidR="000616E8">
        <w:t> </w:t>
      </w:r>
      <w:r w:rsidRPr="000616E8">
        <w:t xml:space="preserve">senátu ve věcech volebních, ve věcech místního </w:t>
      </w:r>
      <w:r w:rsidR="000616E8" w:rsidRPr="000616E8">
        <w:t>a</w:t>
      </w:r>
      <w:r w:rsidR="000616E8">
        <w:t> </w:t>
      </w:r>
      <w:r w:rsidRPr="000616E8">
        <w:t xml:space="preserve">krajského referenda </w:t>
      </w:r>
      <w:r w:rsidR="000616E8" w:rsidRPr="000616E8">
        <w:t>a</w:t>
      </w:r>
      <w:r w:rsidR="000616E8">
        <w:t> </w:t>
      </w:r>
      <w:r w:rsidRPr="000616E8">
        <w:t xml:space="preserve">ve věcech politických stran </w:t>
      </w:r>
      <w:r w:rsidR="000616E8" w:rsidRPr="000616E8">
        <w:t>a</w:t>
      </w:r>
      <w:r w:rsidR="000616E8">
        <w:t> </w:t>
      </w:r>
      <w:r w:rsidRPr="000616E8">
        <w:t xml:space="preserve">politických hnutí složeném </w:t>
      </w:r>
      <w:r w:rsidR="000616E8" w:rsidRPr="000616E8">
        <w:t>z</w:t>
      </w:r>
      <w:r w:rsidR="000616E8">
        <w:t> </w:t>
      </w:r>
      <w:r w:rsidRPr="000616E8">
        <w:t xml:space="preserve">předsedy Vojtěcha Šimíčka, soudkyně Michaely Bejčkové </w:t>
      </w:r>
      <w:r w:rsidR="000616E8" w:rsidRPr="000616E8">
        <w:t>a</w:t>
      </w:r>
      <w:r w:rsidR="000616E8">
        <w:t> </w:t>
      </w:r>
      <w:r w:rsidRPr="000616E8">
        <w:t xml:space="preserve">soudců Radana Malíka, Petra Mikeše (soudce zpravodaj), Pavla </w:t>
      </w:r>
      <w:proofErr w:type="spellStart"/>
      <w:r w:rsidRPr="000616E8">
        <w:t>Molka</w:t>
      </w:r>
      <w:proofErr w:type="spellEnd"/>
      <w:r w:rsidRPr="000616E8">
        <w:t xml:space="preserve">, Milana </w:t>
      </w:r>
      <w:proofErr w:type="spellStart"/>
      <w:r w:rsidRPr="000616E8">
        <w:t>Podhrázkého</w:t>
      </w:r>
      <w:proofErr w:type="spellEnd"/>
      <w:r w:rsidRPr="000616E8">
        <w:t xml:space="preserve"> </w:t>
      </w:r>
      <w:r w:rsidR="000616E8" w:rsidRPr="000616E8">
        <w:t>a</w:t>
      </w:r>
      <w:r w:rsidR="000616E8">
        <w:t> </w:t>
      </w:r>
      <w:r w:rsidRPr="000616E8">
        <w:t xml:space="preserve">Ivo Pospíšila </w:t>
      </w:r>
      <w:r w:rsidR="00F8489B" w:rsidRPr="000616E8">
        <w:t>v právní věci navrhovatele:</w:t>
      </w:r>
      <w:r w:rsidR="00F8489B" w:rsidRPr="000616E8">
        <w:rPr>
          <w:i/>
          <w:iCs/>
        </w:rPr>
        <w:t> </w:t>
      </w:r>
      <w:r w:rsidR="000616E8">
        <w:rPr>
          <w:b/>
          <w:bCs/>
        </w:rPr>
        <w:t>Ing. </w:t>
      </w:r>
      <w:r w:rsidR="00F8489B" w:rsidRPr="000616E8">
        <w:rPr>
          <w:b/>
          <w:bCs/>
        </w:rPr>
        <w:t>Jiří Klicpera, CSc.</w:t>
      </w:r>
      <w:r w:rsidR="00F8489B" w:rsidRPr="000616E8">
        <w:t xml:space="preserve">, </w:t>
      </w:r>
      <w:r w:rsidR="00FB316E" w:rsidRPr="000616E8">
        <w:t xml:space="preserve">bytem Gočárova </w:t>
      </w:r>
      <w:r w:rsidR="00E50B4A" w:rsidRPr="000616E8">
        <w:t>615</w:t>
      </w:r>
      <w:r w:rsidR="00F8489B" w:rsidRPr="000616E8">
        <w:t>, Lázně Bohdaneč, </w:t>
      </w:r>
      <w:r w:rsidR="000616E8" w:rsidRPr="000616E8">
        <w:t>a</w:t>
      </w:r>
      <w:r w:rsidR="000616E8">
        <w:t> </w:t>
      </w:r>
      <w:r w:rsidR="00FE5642" w:rsidRPr="000616E8">
        <w:t>účastníků řízení</w:t>
      </w:r>
      <w:r w:rsidR="00F8489B" w:rsidRPr="000616E8">
        <w:t xml:space="preserve">: </w:t>
      </w:r>
      <w:r w:rsidR="00F8489B" w:rsidRPr="000616E8">
        <w:rPr>
          <w:b/>
          <w:bCs/>
        </w:rPr>
        <w:t xml:space="preserve">1) </w:t>
      </w:r>
      <w:r w:rsidR="00A15DEF" w:rsidRPr="000616E8">
        <w:rPr>
          <w:b/>
          <w:bCs/>
        </w:rPr>
        <w:t>m</w:t>
      </w:r>
      <w:r w:rsidR="00F8489B" w:rsidRPr="000616E8">
        <w:rPr>
          <w:b/>
          <w:bCs/>
        </w:rPr>
        <w:t>ěsto Písek</w:t>
      </w:r>
      <w:r w:rsidR="00F8489B" w:rsidRPr="000616E8">
        <w:t xml:space="preserve">, se sídlem Velké náměstí 114/3, Písek, </w:t>
      </w:r>
      <w:r w:rsidR="00F8489B" w:rsidRPr="000616E8">
        <w:rPr>
          <w:b/>
          <w:bCs/>
        </w:rPr>
        <w:t>2) Přípravný výbor pro konání místního referenda</w:t>
      </w:r>
      <w:r w:rsidR="00F8489B" w:rsidRPr="000616E8">
        <w:t xml:space="preserve">, </w:t>
      </w:r>
      <w:r w:rsidR="00FB316E" w:rsidRPr="000616E8">
        <w:t xml:space="preserve">zastoupený zmocněnkyní </w:t>
      </w:r>
      <w:r w:rsidR="00E50B4A" w:rsidRPr="000616E8">
        <w:t xml:space="preserve">Veronikou </w:t>
      </w:r>
      <w:proofErr w:type="spellStart"/>
      <w:r w:rsidR="00E50B4A" w:rsidRPr="000616E8">
        <w:t>Helcelovou</w:t>
      </w:r>
      <w:proofErr w:type="spellEnd"/>
      <w:r w:rsidR="00E50B4A" w:rsidRPr="000616E8">
        <w:t xml:space="preserve">, bytem </w:t>
      </w:r>
      <w:r w:rsidR="000616E8" w:rsidRPr="000616E8">
        <w:t>U</w:t>
      </w:r>
      <w:r w:rsidR="000616E8">
        <w:t> </w:t>
      </w:r>
      <w:r w:rsidR="00E50B4A" w:rsidRPr="000616E8">
        <w:t>Hřebčince 1485, Písek,</w:t>
      </w:r>
      <w:r w:rsidR="00E50B4A" w:rsidRPr="000616E8" w:rsidDel="00E50B4A">
        <w:t xml:space="preserve"> </w:t>
      </w:r>
      <w:r w:rsidR="000616E8" w:rsidRPr="000616E8">
        <w:t>o</w:t>
      </w:r>
      <w:r w:rsidR="000616E8">
        <w:t> </w:t>
      </w:r>
      <w:r w:rsidR="00F8489B" w:rsidRPr="000616E8">
        <w:t xml:space="preserve">návrhu </w:t>
      </w:r>
      <w:r w:rsidR="00FE5642" w:rsidRPr="000616E8">
        <w:t>„</w:t>
      </w:r>
      <w:r w:rsidR="00F8489B" w:rsidRPr="000616E8">
        <w:t>na zrušení místního referenda</w:t>
      </w:r>
      <w:r w:rsidR="00FE5642" w:rsidRPr="000616E8">
        <w:t>“</w:t>
      </w:r>
      <w:r w:rsidR="00F8489B" w:rsidRPr="000616E8">
        <w:t xml:space="preserve"> vyhlášeného usnesením zastupitelstva města Písek ze dne </w:t>
      </w:r>
      <w:r w:rsidR="000616E8" w:rsidRPr="000616E8">
        <w:t>14</w:t>
      </w:r>
      <w:r w:rsidR="000616E8">
        <w:t>. </w:t>
      </w:r>
      <w:r w:rsidR="000616E8" w:rsidRPr="000616E8">
        <w:t>8</w:t>
      </w:r>
      <w:r w:rsidR="000616E8">
        <w:t>. </w:t>
      </w:r>
      <w:r w:rsidR="000616E8" w:rsidRPr="000616E8">
        <w:t>2025</w:t>
      </w:r>
      <w:r w:rsidR="00F8489B" w:rsidRPr="000616E8">
        <w:t>,</w:t>
      </w:r>
      <w:r w:rsidR="000616E8">
        <w:t xml:space="preserve"> č. </w:t>
      </w:r>
      <w:r w:rsidR="00F8489B" w:rsidRPr="000616E8">
        <w:t xml:space="preserve">113/25, na dny 3. </w:t>
      </w:r>
      <w:r w:rsidR="000616E8" w:rsidRPr="000616E8">
        <w:t>a</w:t>
      </w:r>
      <w:r w:rsidR="000616E8">
        <w:t> </w:t>
      </w:r>
      <w:r w:rsidR="000616E8" w:rsidRPr="000616E8">
        <w:t>4</w:t>
      </w:r>
      <w:r w:rsidR="000616E8">
        <w:t>. </w:t>
      </w:r>
      <w:r w:rsidR="000616E8" w:rsidRPr="000616E8">
        <w:t>10</w:t>
      </w:r>
      <w:r w:rsidR="000616E8">
        <w:t>. </w:t>
      </w:r>
      <w:r w:rsidR="000616E8" w:rsidRPr="000616E8">
        <w:t>2025</w:t>
      </w:r>
      <w:r w:rsidR="00F8489B" w:rsidRPr="000616E8">
        <w:t xml:space="preserve">, v řízení </w:t>
      </w:r>
      <w:r w:rsidR="000616E8" w:rsidRPr="000616E8">
        <w:t>o</w:t>
      </w:r>
      <w:r w:rsidR="000616E8">
        <w:t> </w:t>
      </w:r>
      <w:r w:rsidR="00F8489B" w:rsidRPr="000616E8">
        <w:t xml:space="preserve">kasační stížnosti navrhovatele proti usnesení Krajského soudu v Českých Budějovicích ze dne </w:t>
      </w:r>
      <w:r w:rsidR="000616E8" w:rsidRPr="000616E8">
        <w:t>1</w:t>
      </w:r>
      <w:r w:rsidR="000616E8">
        <w:t>. </w:t>
      </w:r>
      <w:r w:rsidR="000616E8" w:rsidRPr="000616E8">
        <w:t>10</w:t>
      </w:r>
      <w:r w:rsidR="000616E8">
        <w:t>. </w:t>
      </w:r>
      <w:r w:rsidR="000616E8" w:rsidRPr="000616E8">
        <w:t>2025</w:t>
      </w:r>
      <w:r w:rsidR="00F8489B" w:rsidRPr="000616E8">
        <w:t>, </w:t>
      </w:r>
      <w:r w:rsidR="000616E8" w:rsidRPr="000616E8">
        <w:t>č.</w:t>
      </w:r>
      <w:r w:rsidR="000616E8">
        <w:t> </w:t>
      </w:r>
      <w:r w:rsidR="000616E8" w:rsidRPr="000616E8">
        <w:t>j.</w:t>
      </w:r>
      <w:r w:rsidR="000616E8">
        <w:t> </w:t>
      </w:r>
      <w:r w:rsidR="000616E8" w:rsidRPr="000616E8">
        <w:t>52</w:t>
      </w:r>
      <w:r w:rsidR="000616E8">
        <w:t> </w:t>
      </w:r>
      <w:r w:rsidR="000616E8" w:rsidRPr="000616E8">
        <w:t>A</w:t>
      </w:r>
      <w:r w:rsidR="000616E8">
        <w:t> </w:t>
      </w:r>
      <w:r w:rsidR="000616E8" w:rsidRPr="000616E8">
        <w:t>5</w:t>
      </w:r>
      <w:r w:rsidR="000616E8">
        <w:t>/</w:t>
      </w:r>
      <w:r w:rsidR="000616E8" w:rsidRPr="000616E8">
        <w:t>2025</w:t>
      </w:r>
      <w:r w:rsidR="000616E8">
        <w:noBreakHyphen/>
      </w:r>
      <w:r w:rsidR="000616E8" w:rsidRPr="000616E8">
        <w:t>28</w:t>
      </w:r>
      <w:r w:rsidR="00F8489B" w:rsidRPr="000616E8">
        <w:t>,</w:t>
      </w:r>
      <w:r w:rsidR="009B0831" w:rsidRPr="000616E8">
        <w:t xml:space="preserve"> </w:t>
      </w:r>
      <w:r w:rsidR="000616E8" w:rsidRPr="000616E8">
        <w:t>o</w:t>
      </w:r>
      <w:r w:rsidR="000616E8">
        <w:t> </w:t>
      </w:r>
      <w:r w:rsidR="009B0831" w:rsidRPr="000616E8">
        <w:t>žádosti</w:t>
      </w:r>
      <w:r w:rsidR="00F044AC" w:rsidRPr="000616E8">
        <w:t xml:space="preserve"> navrhovatele</w:t>
      </w:r>
      <w:r w:rsidR="009B0831" w:rsidRPr="000616E8">
        <w:t xml:space="preserve"> </w:t>
      </w:r>
      <w:r w:rsidR="000616E8" w:rsidRPr="000616E8">
        <w:t>o</w:t>
      </w:r>
      <w:r w:rsidR="000616E8">
        <w:t> </w:t>
      </w:r>
      <w:r w:rsidR="009B0831" w:rsidRPr="000616E8">
        <w:t xml:space="preserve">osvobození od soudních poplatků </w:t>
      </w:r>
      <w:r w:rsidR="000616E8" w:rsidRPr="000616E8">
        <w:t>a</w:t>
      </w:r>
      <w:r w:rsidR="000616E8">
        <w:t> </w:t>
      </w:r>
      <w:r w:rsidR="009B0831" w:rsidRPr="000616E8">
        <w:t>návrhu na ustanovení zástupce</w:t>
      </w:r>
    </w:p>
    <w:p w14:paraId="17DA62DC" w14:textId="77777777" w:rsidR="00CD2103" w:rsidRPr="000616E8" w:rsidRDefault="00CD2103" w:rsidP="00CD2103">
      <w:pPr>
        <w:rPr>
          <w:b/>
        </w:rPr>
      </w:pPr>
    </w:p>
    <w:p w14:paraId="17DA62DD" w14:textId="77777777" w:rsidR="00CD2103" w:rsidRDefault="00CD2103" w:rsidP="00CD2103">
      <w:pPr>
        <w:rPr>
          <w:b/>
        </w:rPr>
      </w:pPr>
    </w:p>
    <w:p w14:paraId="0A548644" w14:textId="77777777" w:rsidR="000616E8" w:rsidRPr="000616E8" w:rsidRDefault="000616E8" w:rsidP="00CD2103">
      <w:pPr>
        <w:rPr>
          <w:b/>
        </w:rPr>
      </w:pPr>
    </w:p>
    <w:p w14:paraId="17DA62DE" w14:textId="77777777" w:rsidR="00CD2103" w:rsidRPr="000616E8" w:rsidRDefault="00CD2103" w:rsidP="00CD2103">
      <w:pPr>
        <w:jc w:val="center"/>
        <w:rPr>
          <w:b/>
          <w:spacing w:val="60"/>
        </w:rPr>
      </w:pPr>
      <w:r w:rsidRPr="000616E8">
        <w:rPr>
          <w:b/>
          <w:spacing w:val="60"/>
        </w:rPr>
        <w:t>takto:</w:t>
      </w:r>
    </w:p>
    <w:p w14:paraId="17DA62DF" w14:textId="77777777" w:rsidR="00CD2103" w:rsidRDefault="00CD2103" w:rsidP="00CD2103">
      <w:pPr>
        <w:rPr>
          <w:spacing w:val="30"/>
        </w:rPr>
      </w:pPr>
    </w:p>
    <w:p w14:paraId="08BE5F35" w14:textId="77777777" w:rsidR="000616E8" w:rsidRPr="000616E8" w:rsidRDefault="000616E8" w:rsidP="00CD2103">
      <w:pPr>
        <w:rPr>
          <w:spacing w:val="30"/>
        </w:rPr>
      </w:pPr>
    </w:p>
    <w:p w14:paraId="17DA62E0" w14:textId="77777777" w:rsidR="00CD2103" w:rsidRPr="000616E8" w:rsidRDefault="00CD2103" w:rsidP="00CD2103">
      <w:pPr>
        <w:rPr>
          <w:spacing w:val="30"/>
        </w:rPr>
      </w:pPr>
    </w:p>
    <w:p w14:paraId="17DA62E1" w14:textId="7FE3037E" w:rsidR="00CD2103" w:rsidRPr="000616E8" w:rsidRDefault="00CD2103" w:rsidP="00CD2103">
      <w:pPr>
        <w:pStyle w:val="Odstavecseseznamem"/>
        <w:numPr>
          <w:ilvl w:val="0"/>
          <w:numId w:val="16"/>
        </w:numPr>
        <w:jc w:val="both"/>
        <w:rPr>
          <w:rFonts w:ascii="Garamond" w:hAnsi="Garamond" w:cs="Garamond"/>
        </w:rPr>
      </w:pPr>
      <w:r w:rsidRPr="000616E8">
        <w:rPr>
          <w:rFonts w:ascii="Garamond" w:hAnsi="Garamond" w:cs="Garamond"/>
        </w:rPr>
        <w:t xml:space="preserve">Žádost </w:t>
      </w:r>
      <w:r w:rsidR="00944444" w:rsidRPr="000616E8">
        <w:rPr>
          <w:rFonts w:ascii="Garamond" w:hAnsi="Garamond" w:cs="Garamond"/>
        </w:rPr>
        <w:t>navrhovatele</w:t>
      </w:r>
      <w:r w:rsidRPr="000616E8">
        <w:rPr>
          <w:rFonts w:ascii="Garamond" w:hAnsi="Garamond" w:cs="Garamond"/>
        </w:rPr>
        <w:t xml:space="preserve"> o osvobození od soudních poplatků</w:t>
      </w:r>
      <w:r w:rsidRPr="000616E8">
        <w:rPr>
          <w:rStyle w:val="ProloenChar"/>
        </w:rPr>
        <w:t> se zamítá.</w:t>
      </w:r>
    </w:p>
    <w:p w14:paraId="17DA62E2" w14:textId="77777777" w:rsidR="00CD2103" w:rsidRPr="000616E8" w:rsidRDefault="00CD2103" w:rsidP="00CD2103">
      <w:pPr>
        <w:rPr>
          <w:rFonts w:cs="Garamond"/>
        </w:rPr>
      </w:pPr>
    </w:p>
    <w:p w14:paraId="17DA62E3" w14:textId="17CFC700" w:rsidR="00CD2103" w:rsidRPr="000616E8" w:rsidRDefault="008F08AD" w:rsidP="00CD2103">
      <w:pPr>
        <w:pStyle w:val="Odstavecseseznamem"/>
        <w:numPr>
          <w:ilvl w:val="0"/>
          <w:numId w:val="16"/>
        </w:numPr>
        <w:jc w:val="both"/>
        <w:rPr>
          <w:rFonts w:ascii="Garamond" w:hAnsi="Garamond"/>
          <w:b/>
        </w:rPr>
      </w:pPr>
      <w:r w:rsidRPr="000616E8">
        <w:rPr>
          <w:rFonts w:ascii="Garamond" w:hAnsi="Garamond"/>
        </w:rPr>
        <w:t>Návrh</w:t>
      </w:r>
      <w:r w:rsidR="00944444" w:rsidRPr="000616E8">
        <w:rPr>
          <w:rFonts w:ascii="Garamond" w:hAnsi="Garamond"/>
        </w:rPr>
        <w:t xml:space="preserve"> navrhovatele </w:t>
      </w:r>
      <w:r w:rsidRPr="000616E8">
        <w:rPr>
          <w:rFonts w:ascii="Garamond" w:hAnsi="Garamond"/>
        </w:rPr>
        <w:t>na</w:t>
      </w:r>
      <w:r w:rsidR="00A15DEF" w:rsidRPr="000616E8">
        <w:rPr>
          <w:rFonts w:ascii="Garamond" w:hAnsi="Garamond"/>
        </w:rPr>
        <w:t xml:space="preserve"> </w:t>
      </w:r>
      <w:r w:rsidR="00CD2103" w:rsidRPr="000616E8">
        <w:rPr>
          <w:rFonts w:ascii="Garamond" w:hAnsi="Garamond"/>
        </w:rPr>
        <w:t>ustanovení zástupce pro</w:t>
      </w:r>
      <w:r w:rsidR="00A15DEF" w:rsidRPr="000616E8">
        <w:rPr>
          <w:rFonts w:ascii="Garamond" w:hAnsi="Garamond"/>
        </w:rPr>
        <w:t xml:space="preserve"> </w:t>
      </w:r>
      <w:r w:rsidR="00CD2103" w:rsidRPr="000616E8">
        <w:rPr>
          <w:rFonts w:ascii="Garamond" w:hAnsi="Garamond"/>
        </w:rPr>
        <w:t>řízení o kasační stížnosti</w:t>
      </w:r>
      <w:r w:rsidR="00A15DEF" w:rsidRPr="000616E8">
        <w:rPr>
          <w:rStyle w:val="ProloenChar"/>
        </w:rPr>
        <w:t xml:space="preserve"> </w:t>
      </w:r>
      <w:r w:rsidR="00CD2103" w:rsidRPr="000616E8">
        <w:rPr>
          <w:rStyle w:val="ProloenChar"/>
        </w:rPr>
        <w:t>se zamítá.</w:t>
      </w:r>
    </w:p>
    <w:p w14:paraId="17DA62E4" w14:textId="77777777" w:rsidR="00CD2103" w:rsidRPr="000616E8" w:rsidRDefault="00CD2103" w:rsidP="00CD2103">
      <w:pPr>
        <w:ind w:left="709" w:hanging="709"/>
      </w:pPr>
    </w:p>
    <w:p w14:paraId="17DA62E5" w14:textId="4BA5E5DA" w:rsidR="00CD2103" w:rsidRPr="000616E8" w:rsidRDefault="00CD2103" w:rsidP="00CD2103">
      <w:pPr>
        <w:pStyle w:val="Odstavecseseznamem"/>
        <w:numPr>
          <w:ilvl w:val="0"/>
          <w:numId w:val="16"/>
        </w:numPr>
        <w:jc w:val="both"/>
        <w:rPr>
          <w:rFonts w:ascii="Garamond" w:hAnsi="Garamond"/>
        </w:rPr>
      </w:pPr>
      <w:r w:rsidRPr="000616E8">
        <w:rPr>
          <w:rFonts w:ascii="Garamond" w:hAnsi="Garamond"/>
        </w:rPr>
        <w:t>Soud</w:t>
      </w:r>
      <w:r w:rsidRPr="000616E8">
        <w:rPr>
          <w:rStyle w:val="ProloenChar"/>
        </w:rPr>
        <w:t xml:space="preserve"> vyzývá </w:t>
      </w:r>
      <w:r w:rsidR="00944444" w:rsidRPr="000616E8">
        <w:rPr>
          <w:rFonts w:ascii="Garamond" w:hAnsi="Garamond"/>
        </w:rPr>
        <w:t>navrhovatele</w:t>
      </w:r>
      <w:r w:rsidRPr="000616E8">
        <w:rPr>
          <w:rFonts w:ascii="Garamond" w:hAnsi="Garamond"/>
        </w:rPr>
        <w:t xml:space="preserve">, aby ve lhůtě </w:t>
      </w:r>
      <w:r w:rsidRPr="000616E8">
        <w:rPr>
          <w:rFonts w:ascii="Garamond" w:hAnsi="Garamond"/>
          <w:b/>
        </w:rPr>
        <w:t>15 dnů</w:t>
      </w:r>
      <w:r w:rsidRPr="000616E8">
        <w:rPr>
          <w:rFonts w:ascii="Garamond" w:hAnsi="Garamond"/>
        </w:rPr>
        <w:t xml:space="preserve"> ode dne doručení tohoto usnesení zaplatil soudní poplatek (podle zákona č. 549/1991 Sb., o soudních poplatcích, ve znění pozdějších předpisů) za kasační stížnost, který činí podle položky č. 19 sazebníku soudních poplatků částku </w:t>
      </w:r>
      <w:r w:rsidR="000616E8" w:rsidRPr="000616E8">
        <w:rPr>
          <w:rFonts w:ascii="Garamond" w:hAnsi="Garamond"/>
          <w:b/>
        </w:rPr>
        <w:t>5</w:t>
      </w:r>
      <w:r w:rsidR="000616E8">
        <w:rPr>
          <w:rFonts w:ascii="Garamond" w:hAnsi="Garamond"/>
          <w:b/>
        </w:rPr>
        <w:t> </w:t>
      </w:r>
      <w:r w:rsidR="000616E8" w:rsidRPr="000616E8">
        <w:rPr>
          <w:rFonts w:ascii="Garamond" w:hAnsi="Garamond"/>
          <w:b/>
        </w:rPr>
        <w:t>000</w:t>
      </w:r>
      <w:r w:rsidRPr="000616E8">
        <w:rPr>
          <w:rFonts w:ascii="Garamond" w:hAnsi="Garamond"/>
          <w:b/>
        </w:rPr>
        <w:t> Kč</w:t>
      </w:r>
      <w:r w:rsidRPr="000616E8">
        <w:rPr>
          <w:rFonts w:ascii="Garamond" w:hAnsi="Garamond"/>
        </w:rPr>
        <w:t>.</w:t>
      </w:r>
    </w:p>
    <w:p w14:paraId="17DA62E6" w14:textId="77777777" w:rsidR="00CD2103" w:rsidRPr="000616E8" w:rsidRDefault="00CD2103" w:rsidP="00CD2103">
      <w:pPr>
        <w:pStyle w:val="Odstavecseseznamem"/>
        <w:ind w:left="0"/>
        <w:rPr>
          <w:rFonts w:ascii="Garamond" w:hAnsi="Garamond" w:cs="Garamond"/>
        </w:rPr>
      </w:pPr>
    </w:p>
    <w:p w14:paraId="17DA62E7" w14:textId="178E77D7" w:rsidR="00CD2103" w:rsidRPr="000616E8" w:rsidRDefault="00CD2103" w:rsidP="00CD2103">
      <w:pPr>
        <w:pStyle w:val="Odstavecseseznamem"/>
        <w:numPr>
          <w:ilvl w:val="0"/>
          <w:numId w:val="16"/>
        </w:numPr>
        <w:jc w:val="both"/>
        <w:rPr>
          <w:rFonts w:ascii="Garamond" w:hAnsi="Garamond"/>
        </w:rPr>
      </w:pPr>
      <w:r w:rsidRPr="000616E8">
        <w:rPr>
          <w:rFonts w:ascii="Garamond" w:eastAsia="Calibri" w:hAnsi="Garamond" w:cs="Garamond"/>
        </w:rPr>
        <w:t>Soud</w:t>
      </w:r>
      <w:r w:rsidRPr="000616E8">
        <w:rPr>
          <w:rStyle w:val="ProloenChar"/>
        </w:rPr>
        <w:t xml:space="preserve"> vyzývá </w:t>
      </w:r>
      <w:r w:rsidR="00944444" w:rsidRPr="000616E8">
        <w:rPr>
          <w:rFonts w:ascii="Garamond" w:eastAsia="Calibri" w:hAnsi="Garamond" w:cs="Garamond"/>
        </w:rPr>
        <w:t>navrhovatele</w:t>
      </w:r>
      <w:r w:rsidRPr="000616E8">
        <w:rPr>
          <w:rFonts w:ascii="Garamond" w:eastAsia="Calibri" w:hAnsi="Garamond" w:cs="Garamond"/>
        </w:rPr>
        <w:t xml:space="preserve">, aby ve lhůtě </w:t>
      </w:r>
      <w:r w:rsidRPr="000616E8">
        <w:rPr>
          <w:rFonts w:ascii="Garamond" w:eastAsia="Calibri" w:hAnsi="Garamond" w:cs="Garamond"/>
          <w:b/>
        </w:rPr>
        <w:t>1 týdne</w:t>
      </w:r>
      <w:r w:rsidRPr="000616E8">
        <w:rPr>
          <w:rFonts w:ascii="Garamond" w:eastAsia="Calibri" w:hAnsi="Garamond" w:cs="Garamond"/>
        </w:rPr>
        <w:t xml:space="preserve"> od doručení tohoto usnesení buďto předložil plnou moc udělenou jím advokátovi k zastupování v řízení o kasační stížnosti</w:t>
      </w:r>
      <w:r w:rsidR="00A15DEF" w:rsidRPr="000616E8">
        <w:rPr>
          <w:rFonts w:ascii="Garamond" w:eastAsia="Calibri" w:hAnsi="Garamond" w:cs="Garamond"/>
        </w:rPr>
        <w:t>,</w:t>
      </w:r>
      <w:r w:rsidRPr="000616E8">
        <w:rPr>
          <w:rFonts w:ascii="Garamond" w:eastAsia="Calibri" w:hAnsi="Garamond" w:cs="Garamond"/>
        </w:rPr>
        <w:t xml:space="preserve"> nebo</w:t>
      </w:r>
      <w:r w:rsidR="00A15DEF" w:rsidRPr="000616E8">
        <w:rPr>
          <w:rFonts w:ascii="Garamond" w:eastAsia="Calibri" w:hAnsi="Garamond" w:cs="Garamond"/>
        </w:rPr>
        <w:t xml:space="preserve"> </w:t>
      </w:r>
      <w:r w:rsidRPr="000616E8">
        <w:rPr>
          <w:rFonts w:ascii="Garamond" w:eastAsia="Calibri" w:hAnsi="Garamond" w:cs="Garamond"/>
        </w:rPr>
        <w:t>ve</w:t>
      </w:r>
      <w:r w:rsidR="00A15DEF" w:rsidRPr="000616E8">
        <w:rPr>
          <w:rFonts w:ascii="Garamond" w:eastAsia="Calibri" w:hAnsi="Garamond" w:cs="Garamond"/>
        </w:rPr>
        <w:t xml:space="preserve"> </w:t>
      </w:r>
      <w:r w:rsidRPr="000616E8">
        <w:rPr>
          <w:rFonts w:ascii="Garamond" w:eastAsia="Calibri" w:hAnsi="Garamond" w:cs="Garamond"/>
        </w:rPr>
        <w:t>stejné lhůtě prokázal, že má vysokoškolské právnické vzdělání, které je</w:t>
      </w:r>
      <w:r w:rsidR="00A15DEF" w:rsidRPr="000616E8">
        <w:rPr>
          <w:rFonts w:ascii="Garamond" w:eastAsia="Calibri" w:hAnsi="Garamond" w:cs="Garamond"/>
        </w:rPr>
        <w:t xml:space="preserve"> </w:t>
      </w:r>
      <w:r w:rsidRPr="000616E8">
        <w:rPr>
          <w:rFonts w:ascii="Garamond" w:eastAsia="Calibri" w:hAnsi="Garamond" w:cs="Garamond"/>
        </w:rPr>
        <w:t>podle</w:t>
      </w:r>
      <w:r w:rsidR="00A15DEF" w:rsidRPr="000616E8">
        <w:rPr>
          <w:rFonts w:ascii="Garamond" w:eastAsia="Calibri" w:hAnsi="Garamond" w:cs="Garamond"/>
        </w:rPr>
        <w:t xml:space="preserve"> </w:t>
      </w:r>
      <w:r w:rsidRPr="000616E8">
        <w:rPr>
          <w:rFonts w:ascii="Garamond" w:eastAsia="Calibri" w:hAnsi="Garamond" w:cs="Garamond"/>
        </w:rPr>
        <w:t>zvláštních zákonů vyžadováno pro výkon advokacie.</w:t>
      </w:r>
    </w:p>
    <w:p w14:paraId="17DA62E8" w14:textId="77777777" w:rsidR="00CD2103" w:rsidRPr="000616E8" w:rsidRDefault="00CD2103" w:rsidP="00CD2103"/>
    <w:p w14:paraId="17DA62E9" w14:textId="77777777" w:rsidR="00CD2103" w:rsidRDefault="00CD2103" w:rsidP="00CD2103"/>
    <w:p w14:paraId="17DA62EA" w14:textId="77777777" w:rsidR="00CD2103" w:rsidRPr="000616E8" w:rsidRDefault="00CD2103" w:rsidP="00CD2103">
      <w:pPr>
        <w:jc w:val="center"/>
        <w:rPr>
          <w:b/>
          <w:spacing w:val="60"/>
          <w:sz w:val="28"/>
          <w:szCs w:val="28"/>
        </w:rPr>
      </w:pPr>
      <w:r w:rsidRPr="000616E8">
        <w:rPr>
          <w:b/>
          <w:spacing w:val="60"/>
          <w:sz w:val="28"/>
          <w:szCs w:val="28"/>
        </w:rPr>
        <w:t>Odůvodnění:</w:t>
      </w:r>
    </w:p>
    <w:p w14:paraId="17DA62EB" w14:textId="77777777" w:rsidR="00CD2103" w:rsidRPr="000616E8" w:rsidRDefault="00CD2103" w:rsidP="00CD2103">
      <w:pPr>
        <w:rPr>
          <w:spacing w:val="30"/>
        </w:rPr>
      </w:pPr>
    </w:p>
    <w:p w14:paraId="17DA62EC" w14:textId="77777777" w:rsidR="00CD2103" w:rsidRPr="000616E8" w:rsidRDefault="00CD2103" w:rsidP="00CD2103">
      <w:pPr>
        <w:rPr>
          <w:spacing w:val="30"/>
        </w:rPr>
      </w:pPr>
    </w:p>
    <w:p w14:paraId="17DA62ED" w14:textId="793AD859" w:rsidR="00CD2103" w:rsidRPr="000616E8" w:rsidRDefault="00B06E58" w:rsidP="00CD2103">
      <w:pPr>
        <w:pStyle w:val="Zkladnsslovnm"/>
        <w:ind w:left="0" w:firstLine="0"/>
      </w:pPr>
      <w:r w:rsidRPr="000616E8">
        <w:t>Krajský soud v Českých Budějovicích v záhlaví uvedeným usnesením odmítl návrh navrhovatele</w:t>
      </w:r>
      <w:r w:rsidR="0015432D" w:rsidRPr="000616E8">
        <w:t xml:space="preserve"> ze dne </w:t>
      </w:r>
      <w:r w:rsidR="000616E8" w:rsidRPr="000616E8">
        <w:t>23</w:t>
      </w:r>
      <w:r w:rsidR="000616E8">
        <w:t>. </w:t>
      </w:r>
      <w:r w:rsidR="000616E8" w:rsidRPr="000616E8">
        <w:t>9</w:t>
      </w:r>
      <w:r w:rsidR="000616E8">
        <w:t>. </w:t>
      </w:r>
      <w:r w:rsidR="000616E8" w:rsidRPr="000616E8">
        <w:t>2025</w:t>
      </w:r>
      <w:r w:rsidRPr="000616E8">
        <w:t xml:space="preserve"> na zrušení místního referenda vyhlášeného usnesením </w:t>
      </w:r>
      <w:r w:rsidRPr="000616E8">
        <w:lastRenderedPageBreak/>
        <w:t xml:space="preserve">zastupitelstva města Písek ze dne </w:t>
      </w:r>
      <w:r w:rsidR="000616E8" w:rsidRPr="000616E8">
        <w:t>14</w:t>
      </w:r>
      <w:r w:rsidR="000616E8">
        <w:t>. </w:t>
      </w:r>
      <w:r w:rsidR="000616E8" w:rsidRPr="000616E8">
        <w:t>8</w:t>
      </w:r>
      <w:r w:rsidR="000616E8">
        <w:t>. </w:t>
      </w:r>
      <w:r w:rsidR="000616E8" w:rsidRPr="000616E8">
        <w:t>2025</w:t>
      </w:r>
      <w:r w:rsidRPr="000616E8">
        <w:t>,</w:t>
      </w:r>
      <w:r w:rsidR="000616E8">
        <w:t xml:space="preserve"> č. </w:t>
      </w:r>
      <w:r w:rsidRPr="000616E8">
        <w:t xml:space="preserve">113/25, na dny 3. </w:t>
      </w:r>
      <w:r w:rsidR="000616E8" w:rsidRPr="000616E8">
        <w:t>a</w:t>
      </w:r>
      <w:r w:rsidR="000616E8">
        <w:t> </w:t>
      </w:r>
      <w:r w:rsidR="000616E8" w:rsidRPr="000616E8">
        <w:t>4</w:t>
      </w:r>
      <w:r w:rsidR="000616E8">
        <w:t>. </w:t>
      </w:r>
      <w:r w:rsidR="000616E8" w:rsidRPr="000616E8">
        <w:t>10</w:t>
      </w:r>
      <w:r w:rsidR="000616E8">
        <w:t>. </w:t>
      </w:r>
      <w:r w:rsidR="000616E8" w:rsidRPr="000616E8">
        <w:t>2025</w:t>
      </w:r>
      <w:r w:rsidR="004D0087" w:rsidRPr="000616E8">
        <w:t>,</w:t>
      </w:r>
      <w:r w:rsidR="008B5B7F" w:rsidRPr="000616E8">
        <w:t xml:space="preserve"> </w:t>
      </w:r>
      <w:r w:rsidR="000616E8" w:rsidRPr="000616E8">
        <w:t>o</w:t>
      </w:r>
      <w:r w:rsidR="000616E8">
        <w:t> </w:t>
      </w:r>
      <w:r w:rsidR="008B5B7F" w:rsidRPr="000616E8">
        <w:t>otáz</w:t>
      </w:r>
      <w:r w:rsidR="004D0087" w:rsidRPr="000616E8">
        <w:t>ce</w:t>
      </w:r>
      <w:r w:rsidR="008B5B7F" w:rsidRPr="000616E8">
        <w:t xml:space="preserve">: </w:t>
      </w:r>
      <w:r w:rsidR="008B5B7F" w:rsidRPr="000616E8">
        <w:rPr>
          <w:i/>
          <w:iCs/>
        </w:rPr>
        <w:t xml:space="preserve">„Souhlasíte, aby město Písek učinilo všechny potřebné kroky, aby na jeho správním území nevzniklo zařízení pro spalování komunálního odpadu </w:t>
      </w:r>
      <w:r w:rsidR="000616E8">
        <w:rPr>
          <w:i/>
          <w:iCs/>
        </w:rPr>
        <w:noBreakHyphen/>
      </w:r>
      <w:r w:rsidR="008B5B7F" w:rsidRPr="000616E8">
        <w:rPr>
          <w:i/>
          <w:iCs/>
        </w:rPr>
        <w:t xml:space="preserve"> projekt ZEVO?“</w:t>
      </w:r>
      <w:r w:rsidRPr="000616E8">
        <w:t xml:space="preserve"> </w:t>
      </w:r>
      <w:r w:rsidR="001C3C24" w:rsidRPr="000616E8">
        <w:t>K</w:t>
      </w:r>
      <w:r w:rsidR="007875E9" w:rsidRPr="000616E8">
        <w:t xml:space="preserve">onstatoval, že </w:t>
      </w:r>
      <w:r w:rsidR="005E4AA9" w:rsidRPr="000616E8">
        <w:t xml:space="preserve">nemá pravomoc ve věci rozhodnout, protože navrhovatel požadoval zrušení vyhlášeného referenda, které </w:t>
      </w:r>
      <w:r w:rsidR="00A44521" w:rsidRPr="000616E8">
        <w:t>doposud</w:t>
      </w:r>
      <w:r w:rsidR="005E4AA9" w:rsidRPr="000616E8">
        <w:t xml:space="preserve"> neproběhlo, což</w:t>
      </w:r>
      <w:r w:rsidR="000616E8">
        <w:t> </w:t>
      </w:r>
      <w:r w:rsidR="005E4AA9" w:rsidRPr="000616E8">
        <w:t xml:space="preserve">neumožňují </w:t>
      </w:r>
      <w:r w:rsidR="000616E8">
        <w:t>§ </w:t>
      </w:r>
      <w:r w:rsidR="005E4AA9" w:rsidRPr="000616E8">
        <w:t xml:space="preserve">57 </w:t>
      </w:r>
      <w:r w:rsidR="000616E8" w:rsidRPr="000616E8">
        <w:t>a</w:t>
      </w:r>
      <w:r w:rsidR="000616E8">
        <w:t> § </w:t>
      </w:r>
      <w:r w:rsidR="005E4AA9" w:rsidRPr="000616E8">
        <w:t>58 zákona</w:t>
      </w:r>
      <w:r w:rsidR="000616E8">
        <w:t xml:space="preserve"> č. </w:t>
      </w:r>
      <w:r w:rsidR="005E4AA9" w:rsidRPr="000616E8">
        <w:t>22/2004</w:t>
      </w:r>
      <w:r w:rsidR="000616E8">
        <w:t> Sb.</w:t>
      </w:r>
      <w:r w:rsidR="005E4AA9" w:rsidRPr="000616E8">
        <w:t xml:space="preserve">, </w:t>
      </w:r>
      <w:r w:rsidR="000616E8" w:rsidRPr="000616E8">
        <w:t>o</w:t>
      </w:r>
      <w:r w:rsidR="000616E8">
        <w:t> </w:t>
      </w:r>
      <w:r w:rsidR="005E4AA9" w:rsidRPr="000616E8">
        <w:t xml:space="preserve">místním referendu. Samotné vyhlášení referenda </w:t>
      </w:r>
      <w:r w:rsidR="00637304" w:rsidRPr="000616E8">
        <w:t>nezasahuje</w:t>
      </w:r>
      <w:r w:rsidR="007441AA" w:rsidRPr="000616E8">
        <w:t xml:space="preserve"> do</w:t>
      </w:r>
      <w:r w:rsidR="005E4AA9" w:rsidRPr="000616E8">
        <w:t xml:space="preserve"> veřejných subjektivních práv </w:t>
      </w:r>
      <w:r w:rsidR="006B158F" w:rsidRPr="000616E8">
        <w:t>navrhovatele</w:t>
      </w:r>
      <w:r w:rsidR="005E4AA9" w:rsidRPr="000616E8">
        <w:t>. Vyhlášené referendum nelze napadnout ani jiným žalobním typem dle soudního řádu správního.</w:t>
      </w:r>
    </w:p>
    <w:p w14:paraId="17DA62EE" w14:textId="77777777" w:rsidR="00CD2103" w:rsidRPr="000616E8" w:rsidRDefault="00CD2103" w:rsidP="00CD2103">
      <w:pPr>
        <w:pStyle w:val="Zkladnsslovnm"/>
        <w:numPr>
          <w:ilvl w:val="0"/>
          <w:numId w:val="0"/>
        </w:numPr>
        <w:ind w:left="1440" w:hanging="360"/>
      </w:pPr>
    </w:p>
    <w:p w14:paraId="17DA62EF" w14:textId="51FE23CF" w:rsidR="00CD2103" w:rsidRPr="000616E8" w:rsidRDefault="005E4AA9" w:rsidP="00CD2103">
      <w:pPr>
        <w:pStyle w:val="Zkladnsslovnm"/>
        <w:ind w:left="0" w:firstLine="0"/>
      </w:pPr>
      <w:r w:rsidRPr="000616E8">
        <w:rPr>
          <w:rFonts w:cs="Garamond"/>
        </w:rPr>
        <w:t xml:space="preserve">Navrhovatel </w:t>
      </w:r>
      <w:r w:rsidR="00053E22" w:rsidRPr="000616E8">
        <w:rPr>
          <w:rFonts w:cs="Garamond"/>
        </w:rPr>
        <w:t xml:space="preserve">(dále „stěžovatel“) </w:t>
      </w:r>
      <w:r w:rsidRPr="000616E8">
        <w:rPr>
          <w:rFonts w:cs="Garamond"/>
        </w:rPr>
        <w:t>brojil proti usnesení</w:t>
      </w:r>
      <w:r w:rsidR="008E1A23" w:rsidRPr="000616E8">
        <w:rPr>
          <w:rFonts w:cs="Garamond"/>
        </w:rPr>
        <w:t xml:space="preserve"> krajského soudu</w:t>
      </w:r>
      <w:r w:rsidRPr="000616E8">
        <w:rPr>
          <w:rFonts w:cs="Garamond"/>
        </w:rPr>
        <w:t xml:space="preserve"> kasační stížností</w:t>
      </w:r>
      <w:r w:rsidR="00D86A54" w:rsidRPr="000616E8">
        <w:rPr>
          <w:rFonts w:cs="Garamond"/>
        </w:rPr>
        <w:t>, v níž namít</w:t>
      </w:r>
      <w:r w:rsidR="00FE5642" w:rsidRPr="000616E8">
        <w:rPr>
          <w:rFonts w:cs="Garamond"/>
        </w:rPr>
        <w:t>á</w:t>
      </w:r>
      <w:r w:rsidR="00D86A54" w:rsidRPr="000616E8">
        <w:rPr>
          <w:rFonts w:cs="Garamond"/>
        </w:rPr>
        <w:t xml:space="preserve">, že otázka položená v referendu byla </w:t>
      </w:r>
      <w:r w:rsidR="00531523" w:rsidRPr="000616E8">
        <w:rPr>
          <w:rFonts w:cs="Garamond"/>
        </w:rPr>
        <w:t>zavádějící</w:t>
      </w:r>
      <w:r w:rsidR="00D86A54" w:rsidRPr="000616E8">
        <w:rPr>
          <w:rFonts w:cs="Garamond"/>
        </w:rPr>
        <w:t xml:space="preserve"> </w:t>
      </w:r>
      <w:r w:rsidR="000616E8" w:rsidRPr="000616E8">
        <w:rPr>
          <w:rFonts w:cs="Garamond"/>
        </w:rPr>
        <w:t>a</w:t>
      </w:r>
      <w:r w:rsidR="000616E8">
        <w:rPr>
          <w:rFonts w:cs="Garamond"/>
        </w:rPr>
        <w:t> </w:t>
      </w:r>
      <w:r w:rsidR="0087405A" w:rsidRPr="000616E8">
        <w:rPr>
          <w:rFonts w:cs="Garamond"/>
        </w:rPr>
        <w:t xml:space="preserve">v referendu se mělo rozhodovat </w:t>
      </w:r>
      <w:r w:rsidR="000616E8" w:rsidRPr="000616E8">
        <w:rPr>
          <w:rFonts w:cs="Garamond"/>
        </w:rPr>
        <w:t>o</w:t>
      </w:r>
      <w:r w:rsidR="000616E8">
        <w:rPr>
          <w:rFonts w:cs="Garamond"/>
        </w:rPr>
        <w:t> </w:t>
      </w:r>
      <w:r w:rsidR="0087405A" w:rsidRPr="000616E8">
        <w:rPr>
          <w:rFonts w:cs="Garamond"/>
        </w:rPr>
        <w:t>věci, která již byla vyřešena v závazném stanovisku EIA</w:t>
      </w:r>
      <w:r w:rsidR="00D86A54" w:rsidRPr="000616E8">
        <w:rPr>
          <w:rFonts w:cs="Garamond"/>
        </w:rPr>
        <w:t>.</w:t>
      </w:r>
      <w:r w:rsidR="0047451B" w:rsidRPr="000616E8">
        <w:rPr>
          <w:rFonts w:cs="Garamond"/>
        </w:rPr>
        <w:t xml:space="preserve"> Společně s kasační stížností požádal </w:t>
      </w:r>
      <w:r w:rsidR="000616E8" w:rsidRPr="000616E8">
        <w:rPr>
          <w:rFonts w:cs="Garamond"/>
        </w:rPr>
        <w:t>o</w:t>
      </w:r>
      <w:r w:rsidR="000616E8">
        <w:rPr>
          <w:rFonts w:cs="Garamond"/>
        </w:rPr>
        <w:t> </w:t>
      </w:r>
      <w:r w:rsidR="0047451B" w:rsidRPr="000616E8">
        <w:rPr>
          <w:rFonts w:cs="Garamond"/>
        </w:rPr>
        <w:t>osvobození od soudních poplatků</w:t>
      </w:r>
      <w:r w:rsidR="00413C8F" w:rsidRPr="000616E8">
        <w:rPr>
          <w:rFonts w:cs="Garamond"/>
        </w:rPr>
        <w:t xml:space="preserve"> </w:t>
      </w:r>
      <w:r w:rsidR="000616E8" w:rsidRPr="000616E8">
        <w:rPr>
          <w:rFonts w:cs="Garamond"/>
        </w:rPr>
        <w:t>a</w:t>
      </w:r>
      <w:r w:rsidR="000616E8">
        <w:rPr>
          <w:rFonts w:cs="Garamond"/>
        </w:rPr>
        <w:t> </w:t>
      </w:r>
      <w:r w:rsidR="00413C8F" w:rsidRPr="000616E8">
        <w:rPr>
          <w:rFonts w:cs="Garamond"/>
        </w:rPr>
        <w:t xml:space="preserve">ustanovení zástupce pro řízení </w:t>
      </w:r>
      <w:r w:rsidR="000616E8" w:rsidRPr="000616E8">
        <w:rPr>
          <w:rFonts w:cs="Garamond"/>
        </w:rPr>
        <w:t>o</w:t>
      </w:r>
      <w:r w:rsidR="000616E8">
        <w:rPr>
          <w:rFonts w:cs="Garamond"/>
        </w:rPr>
        <w:t> </w:t>
      </w:r>
      <w:r w:rsidR="00413C8F" w:rsidRPr="000616E8">
        <w:rPr>
          <w:rFonts w:cs="Garamond"/>
        </w:rPr>
        <w:t>kasační stížnosti. Uvedl, že</w:t>
      </w:r>
      <w:r w:rsidR="000616E8">
        <w:rPr>
          <w:rFonts w:cs="Garamond"/>
        </w:rPr>
        <w:t> </w:t>
      </w:r>
      <w:r w:rsidR="00413C8F" w:rsidRPr="000616E8">
        <w:rPr>
          <w:rFonts w:cs="Garamond"/>
        </w:rPr>
        <w:t xml:space="preserve">je důchodce </w:t>
      </w:r>
      <w:r w:rsidR="000616E8" w:rsidRPr="000616E8">
        <w:rPr>
          <w:rFonts w:cs="Garamond"/>
        </w:rPr>
        <w:t>a</w:t>
      </w:r>
      <w:r w:rsidR="000616E8">
        <w:rPr>
          <w:rFonts w:cs="Garamond"/>
        </w:rPr>
        <w:t> </w:t>
      </w:r>
      <w:r w:rsidR="00413C8F" w:rsidRPr="000616E8">
        <w:rPr>
          <w:rFonts w:cs="Garamond"/>
        </w:rPr>
        <w:t>společně se svou manželkou naplno pe</w:t>
      </w:r>
      <w:r w:rsidR="002F7383" w:rsidRPr="000616E8">
        <w:rPr>
          <w:rFonts w:cs="Garamond"/>
        </w:rPr>
        <w:t>čuje</w:t>
      </w:r>
      <w:r w:rsidR="00413C8F" w:rsidRPr="000616E8">
        <w:rPr>
          <w:rFonts w:cs="Garamond"/>
        </w:rPr>
        <w:t xml:space="preserve"> </w:t>
      </w:r>
      <w:r w:rsidR="000616E8" w:rsidRPr="000616E8">
        <w:rPr>
          <w:rFonts w:cs="Garamond"/>
        </w:rPr>
        <w:t>o</w:t>
      </w:r>
      <w:r w:rsidR="000616E8">
        <w:rPr>
          <w:rFonts w:cs="Garamond"/>
        </w:rPr>
        <w:t> </w:t>
      </w:r>
      <w:r w:rsidR="00413C8F" w:rsidRPr="000616E8">
        <w:rPr>
          <w:rFonts w:cs="Garamond"/>
        </w:rPr>
        <w:t>těžce nemocného syna.</w:t>
      </w:r>
      <w:r w:rsidR="000E3D14" w:rsidRPr="000616E8">
        <w:rPr>
          <w:rFonts w:cs="Garamond"/>
        </w:rPr>
        <w:t xml:space="preserve"> </w:t>
      </w:r>
      <w:r w:rsidR="001927F3" w:rsidRPr="000616E8">
        <w:rPr>
          <w:rFonts w:cs="Garamond"/>
        </w:rPr>
        <w:t xml:space="preserve">V podání ze dne </w:t>
      </w:r>
      <w:r w:rsidR="000616E8" w:rsidRPr="000616E8">
        <w:rPr>
          <w:rFonts w:cs="Garamond"/>
        </w:rPr>
        <w:t>6</w:t>
      </w:r>
      <w:r w:rsidR="000616E8">
        <w:rPr>
          <w:rFonts w:cs="Garamond"/>
        </w:rPr>
        <w:t>. </w:t>
      </w:r>
      <w:r w:rsidR="000616E8" w:rsidRPr="000616E8">
        <w:rPr>
          <w:rFonts w:cs="Garamond"/>
        </w:rPr>
        <w:t>11</w:t>
      </w:r>
      <w:r w:rsidR="000616E8">
        <w:rPr>
          <w:rFonts w:cs="Garamond"/>
        </w:rPr>
        <w:t>. </w:t>
      </w:r>
      <w:r w:rsidR="000616E8" w:rsidRPr="000616E8">
        <w:rPr>
          <w:rFonts w:cs="Garamond"/>
        </w:rPr>
        <w:t>2025</w:t>
      </w:r>
      <w:r w:rsidR="001927F3" w:rsidRPr="000616E8">
        <w:rPr>
          <w:rFonts w:cs="Garamond"/>
        </w:rPr>
        <w:t xml:space="preserve"> upozornil, že je připraven při jednání soudu podrobně objasnit okolnosti případu, neboť je znalcem v oboru odpadů </w:t>
      </w:r>
      <w:r w:rsidR="000616E8" w:rsidRPr="000616E8">
        <w:rPr>
          <w:rFonts w:cs="Garamond"/>
        </w:rPr>
        <w:t>a</w:t>
      </w:r>
      <w:r w:rsidR="000616E8">
        <w:rPr>
          <w:rFonts w:cs="Garamond"/>
        </w:rPr>
        <w:t> </w:t>
      </w:r>
      <w:r w:rsidR="001927F3" w:rsidRPr="000616E8">
        <w:rPr>
          <w:rFonts w:cs="Garamond"/>
        </w:rPr>
        <w:t xml:space="preserve">spaloven </w:t>
      </w:r>
      <w:r w:rsidR="000616E8" w:rsidRPr="000616E8">
        <w:rPr>
          <w:rFonts w:cs="Garamond"/>
        </w:rPr>
        <w:t>a</w:t>
      </w:r>
      <w:r w:rsidR="000616E8">
        <w:rPr>
          <w:rFonts w:cs="Garamond"/>
        </w:rPr>
        <w:t> </w:t>
      </w:r>
      <w:r w:rsidR="001927F3" w:rsidRPr="000616E8">
        <w:rPr>
          <w:rFonts w:cs="Garamond"/>
        </w:rPr>
        <w:t xml:space="preserve">v oboru EIA, </w:t>
      </w:r>
      <w:r w:rsidR="000616E8" w:rsidRPr="000616E8">
        <w:rPr>
          <w:rFonts w:cs="Garamond"/>
        </w:rPr>
        <w:t>a</w:t>
      </w:r>
      <w:r w:rsidR="000616E8">
        <w:rPr>
          <w:rFonts w:cs="Garamond"/>
        </w:rPr>
        <w:t> </w:t>
      </w:r>
      <w:r w:rsidR="001927F3" w:rsidRPr="000616E8">
        <w:rPr>
          <w:rFonts w:cs="Garamond"/>
        </w:rPr>
        <w:t>má třicetiletou zkušenost z činnosti přísedícího v trestním senátu Krajského soudu v Hradci Králové.</w:t>
      </w:r>
    </w:p>
    <w:p w14:paraId="17DA62F0" w14:textId="77777777" w:rsidR="00CD2103" w:rsidRPr="000616E8" w:rsidRDefault="00CD2103" w:rsidP="00CD2103">
      <w:pPr>
        <w:pStyle w:val="Zkladnsslovnm"/>
        <w:numPr>
          <w:ilvl w:val="0"/>
          <w:numId w:val="0"/>
        </w:numPr>
      </w:pPr>
    </w:p>
    <w:p w14:paraId="17DA62F1" w14:textId="6F00F34D" w:rsidR="00CD2103" w:rsidRPr="000616E8" w:rsidRDefault="00CD2103" w:rsidP="00CD2103">
      <w:pPr>
        <w:keepNext/>
        <w:rPr>
          <w:rFonts w:eastAsiaTheme="minorHAnsi" w:cstheme="minorBidi"/>
          <w:szCs w:val="22"/>
          <w:lang w:eastAsia="en-US"/>
        </w:rPr>
      </w:pPr>
      <w:r w:rsidRPr="000616E8">
        <w:rPr>
          <w:rFonts w:cs="Garamond"/>
          <w:b/>
        </w:rPr>
        <w:t xml:space="preserve">K výrokům </w:t>
      </w:r>
      <w:r w:rsidR="000616E8" w:rsidRPr="000616E8">
        <w:rPr>
          <w:rFonts w:cs="Garamond"/>
          <w:b/>
        </w:rPr>
        <w:t>I</w:t>
      </w:r>
      <w:r w:rsidR="000616E8">
        <w:rPr>
          <w:rFonts w:cs="Garamond"/>
          <w:b/>
        </w:rPr>
        <w:t> </w:t>
      </w:r>
      <w:r w:rsidRPr="000616E8">
        <w:rPr>
          <w:rFonts w:cs="Garamond"/>
          <w:b/>
        </w:rPr>
        <w:t>a II:</w:t>
      </w:r>
    </w:p>
    <w:p w14:paraId="17DA62F2" w14:textId="77777777" w:rsidR="00CD2103" w:rsidRPr="000616E8" w:rsidRDefault="00CD2103" w:rsidP="00CD2103">
      <w:pPr>
        <w:pStyle w:val="Zkladnsslovnm"/>
        <w:ind w:left="0" w:firstLine="0"/>
      </w:pPr>
      <w:r w:rsidRPr="000616E8">
        <w:t xml:space="preserve">Individuální osvobození od soudních poplatků je procesním institutem, jehož účelem je zejména ochrana účastníka, který se nachází v tíživých sociálních poměrech, před nepřiměřeně tvrdým dopadem zákona č. 549/1991 Sb., o soudních poplatcích, který by mu případně znemožnil přístup k soudní ochraně ve smyslu čl. 36 Listiny základních práv a svobod. </w:t>
      </w:r>
    </w:p>
    <w:p w14:paraId="17DA62F3" w14:textId="77777777" w:rsidR="00CD2103" w:rsidRPr="000616E8" w:rsidRDefault="00CD2103" w:rsidP="00CD2103">
      <w:pPr>
        <w:pStyle w:val="Odstavecseseznamem"/>
        <w:ind w:left="0"/>
        <w:jc w:val="both"/>
        <w:rPr>
          <w:rFonts w:ascii="Garamond" w:hAnsi="Garamond"/>
        </w:rPr>
      </w:pPr>
    </w:p>
    <w:p w14:paraId="17DA62F4" w14:textId="3698A440" w:rsidR="00CD2103" w:rsidRPr="000616E8" w:rsidRDefault="00CD2103" w:rsidP="00CD2103">
      <w:pPr>
        <w:pStyle w:val="Zkladnsslovnm"/>
        <w:ind w:left="0" w:firstLine="0"/>
      </w:pPr>
      <w:r w:rsidRPr="000616E8">
        <w:t xml:space="preserve">Předpoklady pro osvobození od soudních poplatků stanovuje </w:t>
      </w:r>
      <w:r w:rsidR="000616E8">
        <w:t>§ </w:t>
      </w:r>
      <w:r w:rsidRPr="000616E8">
        <w:t xml:space="preserve">36 odst. 3 </w:t>
      </w:r>
      <w:r w:rsidR="000616E8">
        <w:t>s. ř. s.</w:t>
      </w:r>
      <w:r w:rsidRPr="000616E8">
        <w:t xml:space="preserve">, podle kterého </w:t>
      </w:r>
      <w:r w:rsidRPr="000616E8">
        <w:rPr>
          <w:i/>
        </w:rPr>
        <w:t>„účastník, který doloží, že nemá dostatečné prostředky, může být na vlastní žádost usnesením předsedy senátu zčásti osvobozen od soudních poplatků. Přiznat účastníkovi osvobození od soudních poplatků zcela lze pouze výjimečně, jsou</w:t>
      </w:r>
      <w:r w:rsidRPr="000616E8">
        <w:rPr>
          <w:i/>
        </w:rPr>
        <w:noBreakHyphen/>
        <w:t>li pro to zvlášť závažné důvody, a toto rozhodnutí musí být odůvodněno. Dospěje</w:t>
      </w:r>
      <w:r w:rsidRPr="000616E8">
        <w:rPr>
          <w:i/>
        </w:rPr>
        <w:noBreakHyphen/>
        <w:t xml:space="preserve">li však soud k závěru, že návrh zjevně nemůže být úspěšný, takovou žádost zamítne“. </w:t>
      </w:r>
      <w:r w:rsidRPr="000616E8">
        <w:t xml:space="preserve">Pro přiznání osvobození od soudních poplatků tedy musí být naplněny následující podmínky: 1) účastník požádal o osvobození, 2) doložil nedostatek příjmů a 3) jeho návrh není zjevně neúspěšný. </w:t>
      </w:r>
    </w:p>
    <w:p w14:paraId="17DA62F5" w14:textId="77777777" w:rsidR="00CD2103" w:rsidRPr="000616E8" w:rsidRDefault="00CD2103" w:rsidP="00CD2103">
      <w:pPr>
        <w:pStyle w:val="Odstavecseseznamem"/>
        <w:ind w:left="0"/>
        <w:jc w:val="both"/>
        <w:rPr>
          <w:rFonts w:ascii="Garamond" w:hAnsi="Garamond"/>
        </w:rPr>
      </w:pPr>
    </w:p>
    <w:p w14:paraId="17DA62F7" w14:textId="4B75B17A" w:rsidR="00CD2103" w:rsidRPr="000616E8" w:rsidRDefault="00CD2103" w:rsidP="00A066A3">
      <w:pPr>
        <w:pStyle w:val="Zkladnsslovnm"/>
        <w:ind w:left="0" w:firstLine="0"/>
        <w:rPr>
          <w:rFonts w:cs="Segoe UI"/>
          <w:color w:val="000000" w:themeColor="text1"/>
        </w:rPr>
      </w:pPr>
      <w:r w:rsidRPr="000616E8">
        <w:t xml:space="preserve">Nejvyšší správní soud </w:t>
      </w:r>
      <w:r w:rsidR="00FB316E" w:rsidRPr="000616E8">
        <w:t>nejprve</w:t>
      </w:r>
      <w:r w:rsidRPr="000616E8">
        <w:t xml:space="preserve"> posuzoval, zda je podaná kasační stížnost zjevně neúspěšným návrhem, či nikoliv. Opačný postup,</w:t>
      </w:r>
      <w:r w:rsidRPr="000616E8">
        <w:rPr>
          <w:rFonts w:cs="Garamond"/>
        </w:rPr>
        <w:t xml:space="preserve"> tj. primární pr</w:t>
      </w:r>
      <w:r w:rsidR="00824933" w:rsidRPr="000616E8">
        <w:rPr>
          <w:rFonts w:cs="Garamond"/>
        </w:rPr>
        <w:t>okazování nedostatku prostředků </w:t>
      </w:r>
      <w:r w:rsidRPr="000616E8">
        <w:rPr>
          <w:rFonts w:cs="Garamond"/>
        </w:rPr>
        <w:t>žadatelem a teprve následné zkoumání „</w:t>
      </w:r>
      <w:r w:rsidRPr="000616E8">
        <w:rPr>
          <w:rFonts w:cs="Garamond"/>
          <w:i/>
        </w:rPr>
        <w:t>zjevné nedůvodnosti návrhu</w:t>
      </w:r>
      <w:r w:rsidRPr="000616E8">
        <w:rPr>
          <w:rFonts w:cs="Garamond"/>
        </w:rPr>
        <w:t>“ soudem,</w:t>
      </w:r>
      <w:r w:rsidRPr="000616E8">
        <w:t xml:space="preserve"> by totiž byl v rozporu se smyslem naposledy citovaného ustanovení soudního řádu správního. </w:t>
      </w:r>
      <w:r w:rsidRPr="000616E8">
        <w:rPr>
          <w:rFonts w:cs="Segoe UI"/>
          <w:color w:val="000000" w:themeColor="text1"/>
        </w:rPr>
        <w:t xml:space="preserve">Pojem </w:t>
      </w:r>
      <w:r w:rsidRPr="000616E8">
        <w:rPr>
          <w:rFonts w:cs="Segoe UI"/>
          <w:i/>
          <w:color w:val="000000" w:themeColor="text1"/>
        </w:rPr>
        <w:t>„zjevná neúspěšnost“</w:t>
      </w:r>
      <w:r w:rsidRPr="000616E8">
        <w:rPr>
          <w:rFonts w:cs="Segoe UI"/>
          <w:color w:val="000000" w:themeColor="text1"/>
        </w:rPr>
        <w:t xml:space="preserve"> není v soudním řádu správním nijak definován. Nej</w:t>
      </w:r>
      <w:r w:rsidR="00824933" w:rsidRPr="000616E8">
        <w:rPr>
          <w:rFonts w:cs="Segoe UI"/>
          <w:color w:val="000000" w:themeColor="text1"/>
        </w:rPr>
        <w:t>vyšší správní soud obsah tohoto </w:t>
      </w:r>
      <w:r w:rsidRPr="000616E8">
        <w:rPr>
          <w:rFonts w:cs="Segoe UI"/>
          <w:color w:val="000000" w:themeColor="text1"/>
        </w:rPr>
        <w:t xml:space="preserve">pojmu vyložil ve své judikatuře. Například v rozsudku ze dne </w:t>
      </w:r>
      <w:r w:rsidR="000616E8" w:rsidRPr="000616E8">
        <w:rPr>
          <w:rFonts w:cs="Segoe UI"/>
          <w:color w:val="000000" w:themeColor="text1"/>
        </w:rPr>
        <w:t>24</w:t>
      </w:r>
      <w:r w:rsidR="000616E8">
        <w:rPr>
          <w:rFonts w:cs="Segoe UI"/>
          <w:color w:val="000000" w:themeColor="text1"/>
        </w:rPr>
        <w:t>. </w:t>
      </w:r>
      <w:r w:rsidR="000616E8" w:rsidRPr="000616E8">
        <w:rPr>
          <w:rFonts w:cs="Segoe UI"/>
          <w:color w:val="000000" w:themeColor="text1"/>
        </w:rPr>
        <w:t>3</w:t>
      </w:r>
      <w:r w:rsidR="000616E8">
        <w:rPr>
          <w:rFonts w:cs="Segoe UI"/>
          <w:color w:val="000000" w:themeColor="text1"/>
        </w:rPr>
        <w:t>. </w:t>
      </w:r>
      <w:r w:rsidR="000616E8" w:rsidRPr="000616E8">
        <w:rPr>
          <w:rFonts w:cs="Segoe UI"/>
          <w:color w:val="000000" w:themeColor="text1"/>
        </w:rPr>
        <w:t>2006</w:t>
      </w:r>
      <w:r w:rsidRPr="000616E8">
        <w:rPr>
          <w:rFonts w:cs="Segoe UI"/>
          <w:color w:val="000000" w:themeColor="text1"/>
        </w:rPr>
        <w:t>,</w:t>
      </w:r>
      <w:r w:rsidR="000616E8">
        <w:rPr>
          <w:rFonts w:cs="Segoe UI"/>
          <w:color w:val="000000" w:themeColor="text1"/>
        </w:rPr>
        <w:t xml:space="preserve"> č. </w:t>
      </w:r>
      <w:r w:rsidRPr="000616E8">
        <w:rPr>
          <w:rFonts w:cs="Segoe UI"/>
          <w:color w:val="000000" w:themeColor="text1"/>
        </w:rPr>
        <w:t>j. </w:t>
      </w:r>
      <w:r w:rsidR="000616E8" w:rsidRPr="000616E8">
        <w:rPr>
          <w:rFonts w:cs="Segoe UI"/>
          <w:color w:val="000000" w:themeColor="text1"/>
        </w:rPr>
        <w:t>4</w:t>
      </w:r>
      <w:r w:rsidR="000616E8">
        <w:rPr>
          <w:rFonts w:cs="Segoe UI"/>
          <w:color w:val="000000" w:themeColor="text1"/>
        </w:rPr>
        <w:t> </w:t>
      </w:r>
      <w:proofErr w:type="spellStart"/>
      <w:r w:rsidR="000616E8" w:rsidRPr="000616E8">
        <w:rPr>
          <w:rFonts w:cs="Segoe UI"/>
          <w:color w:val="000000" w:themeColor="text1"/>
        </w:rPr>
        <w:t>Ads</w:t>
      </w:r>
      <w:proofErr w:type="spellEnd"/>
      <w:r w:rsidR="000616E8">
        <w:rPr>
          <w:rFonts w:cs="Segoe UI"/>
          <w:color w:val="000000" w:themeColor="text1"/>
        </w:rPr>
        <w:t> </w:t>
      </w:r>
      <w:r w:rsidR="000616E8" w:rsidRPr="000616E8">
        <w:rPr>
          <w:rFonts w:cs="Segoe UI"/>
          <w:color w:val="000000" w:themeColor="text1"/>
        </w:rPr>
        <w:t>19</w:t>
      </w:r>
      <w:r w:rsidR="000616E8">
        <w:rPr>
          <w:rFonts w:cs="Segoe UI"/>
          <w:color w:val="000000" w:themeColor="text1"/>
        </w:rPr>
        <w:t>/</w:t>
      </w:r>
      <w:r w:rsidR="000616E8" w:rsidRPr="000616E8">
        <w:rPr>
          <w:rFonts w:cs="Segoe UI"/>
          <w:color w:val="000000" w:themeColor="text1"/>
        </w:rPr>
        <w:t>2005</w:t>
      </w:r>
      <w:r w:rsidRPr="000616E8">
        <w:rPr>
          <w:rFonts w:cs="Segoe UI"/>
          <w:color w:val="000000" w:themeColor="text1"/>
        </w:rPr>
        <w:t> </w:t>
      </w:r>
      <w:r w:rsidRPr="000616E8">
        <w:rPr>
          <w:rFonts w:cs="Segoe UI"/>
          <w:color w:val="000000" w:themeColor="text1"/>
        </w:rPr>
        <w:noBreakHyphen/>
        <w:t> 105, č. 909/2006 </w:t>
      </w:r>
      <w:r w:rsidR="000616E8">
        <w:rPr>
          <w:rFonts w:cs="Segoe UI"/>
          <w:color w:val="000000" w:themeColor="text1"/>
        </w:rPr>
        <w:t>Sb. NSS</w:t>
      </w:r>
      <w:r w:rsidRPr="000616E8">
        <w:rPr>
          <w:rFonts w:cs="Segoe UI"/>
          <w:color w:val="000000" w:themeColor="text1"/>
        </w:rPr>
        <w:t>, uvedl, že </w:t>
      </w:r>
      <w:r w:rsidRPr="000616E8">
        <w:rPr>
          <w:rFonts w:cs="Segoe UI"/>
          <w:i/>
          <w:color w:val="000000" w:themeColor="text1"/>
        </w:rPr>
        <w:t>„zjevná neúspěšnost návrhu by měla být zjistitelná bez pochyb, měla by být nesporná a naprosto jednoznačná bez toho, aby bylo prováděno dokazování“</w:t>
      </w:r>
      <w:r w:rsidRPr="000616E8">
        <w:rPr>
          <w:rFonts w:cs="Segoe UI"/>
          <w:color w:val="000000" w:themeColor="text1"/>
        </w:rPr>
        <w:t xml:space="preserve">. O zřejmě (zjevně) bezúspěšné uplatňování práva se pak jedná zejména tehdy, jestliže již ze skutkových tvrzení žadatele je nepochybné, že mu ve věci nemůže být vyhověno (rozsudek </w:t>
      </w:r>
      <w:r w:rsidR="00ED7E89" w:rsidRPr="000616E8">
        <w:rPr>
          <w:rFonts w:cs="Segoe UI"/>
          <w:color w:val="000000" w:themeColor="text1"/>
        </w:rPr>
        <w:t>NSS</w:t>
      </w:r>
      <w:r w:rsidRPr="000616E8">
        <w:rPr>
          <w:rFonts w:cs="Segoe UI"/>
          <w:color w:val="000000" w:themeColor="text1"/>
        </w:rPr>
        <w:t xml:space="preserve"> ze dne </w:t>
      </w:r>
      <w:r w:rsidR="000616E8" w:rsidRPr="000616E8">
        <w:rPr>
          <w:rFonts w:cs="Segoe UI"/>
          <w:color w:val="000000" w:themeColor="text1"/>
        </w:rPr>
        <w:t>29</w:t>
      </w:r>
      <w:r w:rsidR="000616E8">
        <w:rPr>
          <w:rFonts w:cs="Segoe UI"/>
          <w:color w:val="000000" w:themeColor="text1"/>
        </w:rPr>
        <w:t>. </w:t>
      </w:r>
      <w:r w:rsidR="000616E8" w:rsidRPr="000616E8">
        <w:rPr>
          <w:rFonts w:cs="Segoe UI"/>
          <w:color w:val="000000" w:themeColor="text1"/>
        </w:rPr>
        <w:t>11</w:t>
      </w:r>
      <w:r w:rsidR="000616E8">
        <w:rPr>
          <w:rFonts w:cs="Segoe UI"/>
          <w:color w:val="000000" w:themeColor="text1"/>
        </w:rPr>
        <w:t>. </w:t>
      </w:r>
      <w:r w:rsidR="000616E8" w:rsidRPr="000616E8">
        <w:rPr>
          <w:rFonts w:cs="Segoe UI"/>
          <w:color w:val="000000" w:themeColor="text1"/>
        </w:rPr>
        <w:t>2012</w:t>
      </w:r>
      <w:r w:rsidRPr="000616E8">
        <w:rPr>
          <w:rFonts w:cs="Segoe UI"/>
          <w:color w:val="000000" w:themeColor="text1"/>
        </w:rPr>
        <w:t xml:space="preserve">, </w:t>
      </w:r>
      <w:r w:rsidR="000616E8" w:rsidRPr="000616E8">
        <w:rPr>
          <w:rFonts w:cs="Segoe UI"/>
          <w:color w:val="000000" w:themeColor="text1"/>
        </w:rPr>
        <w:t>č.</w:t>
      </w:r>
      <w:r w:rsidR="000616E8">
        <w:rPr>
          <w:rFonts w:cs="Segoe UI"/>
          <w:color w:val="000000" w:themeColor="text1"/>
        </w:rPr>
        <w:t> </w:t>
      </w:r>
      <w:r w:rsidR="000616E8" w:rsidRPr="000616E8">
        <w:rPr>
          <w:rFonts w:cs="Segoe UI"/>
          <w:color w:val="000000" w:themeColor="text1"/>
        </w:rPr>
        <w:t>j.</w:t>
      </w:r>
      <w:r w:rsidR="000616E8">
        <w:rPr>
          <w:rFonts w:cs="Segoe UI"/>
          <w:color w:val="000000" w:themeColor="text1"/>
        </w:rPr>
        <w:t> </w:t>
      </w:r>
      <w:r w:rsidR="000616E8" w:rsidRPr="000616E8">
        <w:rPr>
          <w:rFonts w:cs="Segoe UI"/>
          <w:color w:val="000000" w:themeColor="text1"/>
        </w:rPr>
        <w:t>9</w:t>
      </w:r>
      <w:r w:rsidR="000616E8">
        <w:rPr>
          <w:rFonts w:cs="Segoe UI"/>
          <w:color w:val="000000" w:themeColor="text1"/>
        </w:rPr>
        <w:t> </w:t>
      </w:r>
      <w:r w:rsidR="000616E8" w:rsidRPr="000616E8">
        <w:rPr>
          <w:rFonts w:cs="Segoe UI"/>
          <w:color w:val="000000" w:themeColor="text1"/>
        </w:rPr>
        <w:t>As</w:t>
      </w:r>
      <w:r w:rsidR="000616E8">
        <w:rPr>
          <w:rFonts w:cs="Segoe UI"/>
          <w:color w:val="000000" w:themeColor="text1"/>
        </w:rPr>
        <w:t> </w:t>
      </w:r>
      <w:r w:rsidR="000616E8" w:rsidRPr="000616E8">
        <w:rPr>
          <w:rFonts w:cs="Segoe UI"/>
          <w:color w:val="000000" w:themeColor="text1"/>
        </w:rPr>
        <w:t>154</w:t>
      </w:r>
      <w:r w:rsidR="000616E8">
        <w:rPr>
          <w:rFonts w:cs="Segoe UI"/>
          <w:color w:val="000000" w:themeColor="text1"/>
        </w:rPr>
        <w:t>/</w:t>
      </w:r>
      <w:r w:rsidR="000616E8" w:rsidRPr="000616E8">
        <w:rPr>
          <w:rFonts w:cs="Segoe UI"/>
          <w:color w:val="000000" w:themeColor="text1"/>
        </w:rPr>
        <w:t>2012</w:t>
      </w:r>
      <w:r w:rsidR="000616E8">
        <w:rPr>
          <w:rFonts w:cs="Segoe UI"/>
          <w:color w:val="000000" w:themeColor="text1"/>
        </w:rPr>
        <w:noBreakHyphen/>
      </w:r>
      <w:r w:rsidR="000616E8" w:rsidRPr="000616E8">
        <w:rPr>
          <w:rFonts w:cs="Segoe UI"/>
          <w:color w:val="000000" w:themeColor="text1"/>
        </w:rPr>
        <w:t>20</w:t>
      </w:r>
      <w:r w:rsidRPr="000616E8">
        <w:rPr>
          <w:rFonts w:cs="Segoe UI"/>
          <w:color w:val="000000" w:themeColor="text1"/>
        </w:rPr>
        <w:t>).</w:t>
      </w:r>
    </w:p>
    <w:p w14:paraId="790F9EAA" w14:textId="77777777" w:rsidR="00985163" w:rsidRPr="000616E8" w:rsidRDefault="00985163" w:rsidP="00985163">
      <w:pPr>
        <w:pStyle w:val="Odstavecseseznamem"/>
        <w:rPr>
          <w:rFonts w:ascii="Garamond" w:hAnsi="Garamond"/>
        </w:rPr>
      </w:pPr>
    </w:p>
    <w:p w14:paraId="3CADF7FE" w14:textId="24FA110F" w:rsidR="00985163" w:rsidRPr="000616E8" w:rsidRDefault="0016662B" w:rsidP="008675E4">
      <w:pPr>
        <w:pStyle w:val="Zkladnsslovnm"/>
        <w:ind w:left="0" w:firstLine="0"/>
      </w:pPr>
      <w:r w:rsidRPr="000616E8">
        <w:t>Kasační stížnost je zjevně neúspěšná, neboť krajský soud</w:t>
      </w:r>
      <w:r w:rsidR="00FC1641" w:rsidRPr="000616E8">
        <w:t xml:space="preserve"> </w:t>
      </w:r>
      <w:r w:rsidR="003F2761" w:rsidRPr="000616E8">
        <w:t xml:space="preserve">shledal nedostatek své pravomoci </w:t>
      </w:r>
      <w:r w:rsidR="00166C6F" w:rsidRPr="000616E8">
        <w:t xml:space="preserve">rozhodnout </w:t>
      </w:r>
      <w:r w:rsidR="000616E8" w:rsidRPr="000616E8">
        <w:t>o</w:t>
      </w:r>
      <w:r w:rsidR="000616E8">
        <w:t> </w:t>
      </w:r>
      <w:r w:rsidR="00166C6F" w:rsidRPr="000616E8">
        <w:t xml:space="preserve">návrhu stěžovatele </w:t>
      </w:r>
      <w:r w:rsidR="00A27ADC" w:rsidRPr="000616E8">
        <w:t xml:space="preserve">na základě právního názoru </w:t>
      </w:r>
      <w:r w:rsidR="00A066A3" w:rsidRPr="000616E8">
        <w:t xml:space="preserve">již zcela jednoznačně </w:t>
      </w:r>
      <w:r w:rsidR="00C863BB" w:rsidRPr="000616E8">
        <w:t>vyjádřen</w:t>
      </w:r>
      <w:r w:rsidR="00A27ADC" w:rsidRPr="000616E8">
        <w:t>ého</w:t>
      </w:r>
      <w:r w:rsidR="00C863BB" w:rsidRPr="000616E8">
        <w:t xml:space="preserve"> v</w:t>
      </w:r>
      <w:r w:rsidR="003F2761" w:rsidRPr="000616E8">
        <w:t> rozsudk</w:t>
      </w:r>
      <w:r w:rsidR="00C863BB" w:rsidRPr="000616E8">
        <w:t>u</w:t>
      </w:r>
      <w:r w:rsidR="00FC1641" w:rsidRPr="000616E8">
        <w:t xml:space="preserve"> NSS</w:t>
      </w:r>
      <w:r w:rsidR="003F2761" w:rsidRPr="000616E8">
        <w:t xml:space="preserve"> ze dne </w:t>
      </w:r>
      <w:r w:rsidR="000616E8" w:rsidRPr="000616E8">
        <w:t>2</w:t>
      </w:r>
      <w:r w:rsidR="000616E8">
        <w:t>. </w:t>
      </w:r>
      <w:r w:rsidR="000616E8" w:rsidRPr="000616E8">
        <w:t>9</w:t>
      </w:r>
      <w:r w:rsidR="000616E8">
        <w:t>. </w:t>
      </w:r>
      <w:r w:rsidR="000616E8" w:rsidRPr="000616E8">
        <w:t>2015</w:t>
      </w:r>
      <w:r w:rsidR="003F2761" w:rsidRPr="000616E8">
        <w:t xml:space="preserve">, </w:t>
      </w:r>
      <w:r w:rsidR="000616E8" w:rsidRPr="000616E8">
        <w:t>č.</w:t>
      </w:r>
      <w:r w:rsidR="000616E8">
        <w:t> </w:t>
      </w:r>
      <w:r w:rsidR="000616E8" w:rsidRPr="000616E8">
        <w:t>j.</w:t>
      </w:r>
      <w:r w:rsidR="000616E8">
        <w:t> </w:t>
      </w:r>
      <w:proofErr w:type="spellStart"/>
      <w:r w:rsidR="003F2761" w:rsidRPr="000616E8">
        <w:t>Ars</w:t>
      </w:r>
      <w:proofErr w:type="spellEnd"/>
      <w:r w:rsidR="003F2761" w:rsidRPr="000616E8">
        <w:t xml:space="preserve"> 1/2015</w:t>
      </w:r>
      <w:r w:rsidR="000616E8">
        <w:noBreakHyphen/>
      </w:r>
      <w:r w:rsidR="003F2761" w:rsidRPr="000616E8">
        <w:t>94,</w:t>
      </w:r>
      <w:r w:rsidR="000616E8">
        <w:t xml:space="preserve"> č. </w:t>
      </w:r>
      <w:r w:rsidR="003F2761" w:rsidRPr="000616E8">
        <w:t xml:space="preserve">3302/2015 </w:t>
      </w:r>
      <w:r w:rsidR="000616E8">
        <w:t>Sb. NSS</w:t>
      </w:r>
      <w:r w:rsidR="00C863BB" w:rsidRPr="000616E8">
        <w:t xml:space="preserve">, </w:t>
      </w:r>
      <w:r w:rsidR="003F2761" w:rsidRPr="000616E8">
        <w:t>bod</w:t>
      </w:r>
      <w:r w:rsidR="00893B41" w:rsidRPr="000616E8">
        <w:t>y</w:t>
      </w:r>
      <w:r w:rsidR="003F2761" w:rsidRPr="000616E8">
        <w:t xml:space="preserve"> 27</w:t>
      </w:r>
      <w:r w:rsidR="000616E8">
        <w:noBreakHyphen/>
      </w:r>
      <w:r w:rsidR="003F2761" w:rsidRPr="000616E8">
        <w:t>29</w:t>
      </w:r>
      <w:r w:rsidR="008675E4" w:rsidRPr="000616E8">
        <w:t xml:space="preserve">. </w:t>
      </w:r>
      <w:r w:rsidR="00B560BD" w:rsidRPr="000616E8">
        <w:t>Soud</w:t>
      </w:r>
      <w:r w:rsidR="00A27ADC" w:rsidRPr="000616E8">
        <w:t xml:space="preserve"> v citovaném rozsudku konstatoval</w:t>
      </w:r>
      <w:r w:rsidR="008675E4" w:rsidRPr="000616E8">
        <w:t xml:space="preserve">, že </w:t>
      </w:r>
      <w:r w:rsidR="00A066A3" w:rsidRPr="000616E8">
        <w:t xml:space="preserve">rozsah </w:t>
      </w:r>
      <w:r w:rsidR="008675E4" w:rsidRPr="000616E8">
        <w:t>soudní ochran</w:t>
      </w:r>
      <w:r w:rsidR="00A066A3" w:rsidRPr="000616E8">
        <w:t>y</w:t>
      </w:r>
      <w:r w:rsidR="008675E4" w:rsidRPr="000616E8">
        <w:t xml:space="preserve"> ve věcech místního referenda </w:t>
      </w:r>
      <w:r w:rsidR="00A066A3" w:rsidRPr="000616E8">
        <w:t>je omezen pouze na zákonem stanovené postupy</w:t>
      </w:r>
      <w:r w:rsidR="008675E4" w:rsidRPr="000616E8">
        <w:t>. P</w:t>
      </w:r>
      <w:r w:rsidR="005F5864" w:rsidRPr="000616E8">
        <w:t>řed konáním referenda</w:t>
      </w:r>
      <w:r w:rsidR="00A938F7" w:rsidRPr="000616E8">
        <w:t xml:space="preserve"> správní</w:t>
      </w:r>
      <w:r w:rsidR="005F5864" w:rsidRPr="000616E8">
        <w:t xml:space="preserve"> soud určuje, že návrh na konání místního referenda nemá nedostatky</w:t>
      </w:r>
      <w:r w:rsidR="00A15DEF" w:rsidRPr="000616E8">
        <w:t>,</w:t>
      </w:r>
      <w:r w:rsidR="005F5864" w:rsidRPr="000616E8">
        <w:t xml:space="preserve"> </w:t>
      </w:r>
      <w:r w:rsidR="000616E8" w:rsidRPr="000616E8">
        <w:t>a</w:t>
      </w:r>
      <w:r w:rsidR="000616E8">
        <w:t> </w:t>
      </w:r>
      <w:r w:rsidR="008675E4" w:rsidRPr="000616E8">
        <w:t>má pravomoc</w:t>
      </w:r>
      <w:r w:rsidR="005F5864" w:rsidRPr="000616E8">
        <w:t xml:space="preserve"> vyhlásit místní referendum</w:t>
      </w:r>
      <w:r w:rsidR="001D1867" w:rsidRPr="000616E8">
        <w:t xml:space="preserve"> (předběžná ochrana)</w:t>
      </w:r>
      <w:r w:rsidR="005F5864" w:rsidRPr="000616E8">
        <w:t xml:space="preserve">, naopak po uskutečnění referenda může soud vyslovit neplatnost přijatého rozhodnutí </w:t>
      </w:r>
      <w:r w:rsidR="008675E4" w:rsidRPr="000616E8">
        <w:t>nebo</w:t>
      </w:r>
      <w:r w:rsidR="005F5864" w:rsidRPr="000616E8">
        <w:t xml:space="preserve"> vyslovit neplatnost hlasování</w:t>
      </w:r>
      <w:r w:rsidR="001D1867" w:rsidRPr="000616E8">
        <w:t xml:space="preserve"> (následná ochrana)</w:t>
      </w:r>
      <w:r w:rsidR="008675E4" w:rsidRPr="000616E8">
        <w:t xml:space="preserve">. Podstatné pro stávající věc je </w:t>
      </w:r>
      <w:r w:rsidR="008675E4" w:rsidRPr="000616E8">
        <w:lastRenderedPageBreak/>
        <w:t>to, že</w:t>
      </w:r>
      <w:r w:rsidR="008675E4" w:rsidRPr="000616E8">
        <w:rPr>
          <w:i/>
          <w:iCs/>
        </w:rPr>
        <w:t xml:space="preserve"> </w:t>
      </w:r>
      <w:r w:rsidR="008675E4" w:rsidRPr="000616E8">
        <w:t>p</w:t>
      </w:r>
      <w:r w:rsidR="00D1143E" w:rsidRPr="000616E8">
        <w:t>ředběžná ochrana je poskytována</w:t>
      </w:r>
      <w:r w:rsidR="00777E55" w:rsidRPr="000616E8">
        <w:t xml:space="preserve"> výhradně</w:t>
      </w:r>
      <w:r w:rsidR="00D1143E" w:rsidRPr="000616E8">
        <w:t xml:space="preserve"> přípravnému výboru, tedy </w:t>
      </w:r>
      <w:r w:rsidR="001D1867" w:rsidRPr="000616E8">
        <w:t xml:space="preserve">těm </w:t>
      </w:r>
      <w:r w:rsidR="00D1143E" w:rsidRPr="000616E8">
        <w:t xml:space="preserve">osobám, které mají zájem </w:t>
      </w:r>
      <w:r w:rsidR="00CD5636" w:rsidRPr="000616E8">
        <w:t>uskutečnit</w:t>
      </w:r>
      <w:r w:rsidR="00D1143E" w:rsidRPr="000616E8">
        <w:t xml:space="preserve"> své veřejné subjektivní právo na </w:t>
      </w:r>
      <w:r w:rsidR="005C57D9" w:rsidRPr="000616E8">
        <w:t>vyvolání</w:t>
      </w:r>
      <w:r w:rsidR="00D1143E" w:rsidRPr="000616E8">
        <w:t xml:space="preserve"> místního referenda (</w:t>
      </w:r>
      <w:r w:rsidR="000616E8">
        <w:t>§ </w:t>
      </w:r>
      <w:r w:rsidR="00D1143E" w:rsidRPr="000616E8">
        <w:t xml:space="preserve">91a </w:t>
      </w:r>
      <w:r w:rsidR="000616E8" w:rsidRPr="000616E8">
        <w:t>odst.</w:t>
      </w:r>
      <w:r w:rsidR="000616E8">
        <w:t> </w:t>
      </w:r>
      <w:r w:rsidR="00D1143E" w:rsidRPr="000616E8">
        <w:t xml:space="preserve">2 </w:t>
      </w:r>
      <w:r w:rsidR="000616E8">
        <w:t>s. ř. s. </w:t>
      </w:r>
      <w:r w:rsidR="000616E8" w:rsidRPr="000616E8">
        <w:t>a</w:t>
      </w:r>
      <w:r w:rsidR="000616E8">
        <w:t> § </w:t>
      </w:r>
      <w:r w:rsidR="00D1143E" w:rsidRPr="000616E8">
        <w:t xml:space="preserve">57 zákona </w:t>
      </w:r>
      <w:r w:rsidR="000616E8" w:rsidRPr="000616E8">
        <w:t>o</w:t>
      </w:r>
      <w:r w:rsidR="000616E8">
        <w:t> </w:t>
      </w:r>
      <w:r w:rsidR="00D1143E" w:rsidRPr="000616E8">
        <w:t>místním referendu)</w:t>
      </w:r>
      <w:r w:rsidR="008675E4" w:rsidRPr="000616E8">
        <w:t>, zatímco</w:t>
      </w:r>
      <w:r w:rsidR="00D1143E" w:rsidRPr="000616E8">
        <w:t xml:space="preserve"> </w:t>
      </w:r>
      <w:r w:rsidR="008675E4" w:rsidRPr="000616E8">
        <w:t>n</w:t>
      </w:r>
      <w:r w:rsidR="00D1143E" w:rsidRPr="000616E8">
        <w:t xml:space="preserve">ásledná ochrana je poskytována </w:t>
      </w:r>
      <w:r w:rsidR="00A066A3" w:rsidRPr="000616E8">
        <w:t>širšímu okruhu osob, konkrétně</w:t>
      </w:r>
      <w:r w:rsidR="00D1143E" w:rsidRPr="000616E8">
        <w:t xml:space="preserve"> všem oprávněným osobám, tedy voličům oprávněným volit do</w:t>
      </w:r>
      <w:r w:rsidR="00F15DF3">
        <w:t> </w:t>
      </w:r>
      <w:r w:rsidR="00D1143E" w:rsidRPr="000616E8">
        <w:t>zastupitelstva dané obce (</w:t>
      </w:r>
      <w:r w:rsidR="000616E8">
        <w:t>§ </w:t>
      </w:r>
      <w:r w:rsidR="00D1143E" w:rsidRPr="000616E8">
        <w:t xml:space="preserve">91a </w:t>
      </w:r>
      <w:r w:rsidR="000616E8" w:rsidRPr="000616E8">
        <w:t>odst.</w:t>
      </w:r>
      <w:r w:rsidR="000616E8">
        <w:t> </w:t>
      </w:r>
      <w:r w:rsidR="00D1143E" w:rsidRPr="000616E8">
        <w:t xml:space="preserve">2 </w:t>
      </w:r>
      <w:r w:rsidR="000616E8">
        <w:t>s. ř. s. </w:t>
      </w:r>
      <w:r w:rsidR="000616E8" w:rsidRPr="000616E8">
        <w:t>a</w:t>
      </w:r>
      <w:r w:rsidR="000616E8">
        <w:t> § </w:t>
      </w:r>
      <w:r w:rsidR="00D1143E" w:rsidRPr="000616E8">
        <w:t xml:space="preserve">58 za použití </w:t>
      </w:r>
      <w:r w:rsidR="000616E8">
        <w:t>§ </w:t>
      </w:r>
      <w:r w:rsidR="00D1143E" w:rsidRPr="000616E8">
        <w:t xml:space="preserve">2 zákona </w:t>
      </w:r>
      <w:r w:rsidR="000616E8" w:rsidRPr="000616E8">
        <w:t>o</w:t>
      </w:r>
      <w:r w:rsidR="000616E8">
        <w:t> </w:t>
      </w:r>
      <w:r w:rsidR="00D1143E" w:rsidRPr="000616E8">
        <w:t>místním referendu)</w:t>
      </w:r>
      <w:r w:rsidR="008675E4" w:rsidRPr="000616E8">
        <w:t>.</w:t>
      </w:r>
      <w:r w:rsidR="008675E4" w:rsidRPr="000616E8">
        <w:rPr>
          <w:i/>
          <w:iCs/>
        </w:rPr>
        <w:t xml:space="preserve"> </w:t>
      </w:r>
      <w:r w:rsidR="008675E4" w:rsidRPr="000616E8">
        <w:t>NSS uzavřel (tamtéž bod 32), že</w:t>
      </w:r>
      <w:r w:rsidR="00D1143E" w:rsidRPr="000616E8">
        <w:rPr>
          <w:i/>
          <w:iCs/>
        </w:rPr>
        <w:t xml:space="preserve"> </w:t>
      </w:r>
      <w:r w:rsidR="008675E4" w:rsidRPr="000616E8">
        <w:rPr>
          <w:i/>
          <w:iCs/>
        </w:rPr>
        <w:t>„c</w:t>
      </w:r>
      <w:r w:rsidR="00D1143E" w:rsidRPr="000616E8">
        <w:rPr>
          <w:i/>
          <w:iCs/>
        </w:rPr>
        <w:t>itovaná ustanovení</w:t>
      </w:r>
      <w:r w:rsidR="008675E4" w:rsidRPr="000616E8">
        <w:rPr>
          <w:i/>
          <w:iCs/>
        </w:rPr>
        <w:t xml:space="preserve"> proto</w:t>
      </w:r>
      <w:r w:rsidR="00D1143E" w:rsidRPr="000616E8">
        <w:rPr>
          <w:i/>
          <w:iCs/>
        </w:rPr>
        <w:t xml:space="preserve"> vyčerpávají soudní ochranu, jíž lze </w:t>
      </w:r>
      <w:r w:rsidR="000616E8" w:rsidRPr="000616E8">
        <w:rPr>
          <w:i/>
          <w:iCs/>
        </w:rPr>
        <w:t>v</w:t>
      </w:r>
      <w:r w:rsidR="000616E8">
        <w:rPr>
          <w:i/>
          <w:iCs/>
        </w:rPr>
        <w:t> </w:t>
      </w:r>
      <w:r w:rsidR="00D1143E" w:rsidRPr="000616E8">
        <w:rPr>
          <w:i/>
          <w:iCs/>
        </w:rPr>
        <w:t xml:space="preserve">„referendových“ věcech poskytnout. Zákonodárce zjevně nepředpokládal, že by se nevyhlášení referenda mohlo dotknout veřejného subjektivního práva jiných osob než těch, které prostřednictvím přípravného výboru chtějí realizovat své právo vyvolat místní referendum, nebo že by se samotné vyhlášení referenda mohlo právně relevantně dotknout veřejného subjektivního práva jednotlivce. Širší posteriorní ochrana odráží skutečnost, že se referenda účastnily či mohly účastnit osoby, které jej neiniciovaly </w:t>
      </w:r>
      <w:r w:rsidR="000616E8">
        <w:rPr>
          <w:i/>
          <w:iCs/>
        </w:rPr>
        <w:noBreakHyphen/>
      </w:r>
      <w:r w:rsidR="00D1143E" w:rsidRPr="000616E8">
        <w:rPr>
          <w:i/>
          <w:iCs/>
        </w:rPr>
        <w:t xml:space="preserve"> </w:t>
      </w:r>
      <w:r w:rsidR="000616E8" w:rsidRPr="000616E8">
        <w:rPr>
          <w:i/>
          <w:iCs/>
        </w:rPr>
        <w:t>a</w:t>
      </w:r>
      <w:r w:rsidR="000616E8">
        <w:rPr>
          <w:i/>
          <w:iCs/>
        </w:rPr>
        <w:t> </w:t>
      </w:r>
      <w:r w:rsidR="00D1143E" w:rsidRPr="000616E8">
        <w:rPr>
          <w:i/>
          <w:iCs/>
        </w:rPr>
        <w:t xml:space="preserve">zahrnuje proto </w:t>
      </w:r>
      <w:r w:rsidR="000616E8" w:rsidRPr="000616E8">
        <w:rPr>
          <w:i/>
          <w:iCs/>
        </w:rPr>
        <w:t>i</w:t>
      </w:r>
      <w:r w:rsidR="000616E8">
        <w:rPr>
          <w:i/>
          <w:iCs/>
        </w:rPr>
        <w:t> </w:t>
      </w:r>
      <w:r w:rsidR="00D1143E" w:rsidRPr="000616E8">
        <w:rPr>
          <w:i/>
          <w:iCs/>
        </w:rPr>
        <w:t>oprávněné osoby.“</w:t>
      </w:r>
    </w:p>
    <w:p w14:paraId="0147E5A4" w14:textId="77777777" w:rsidR="004207AB" w:rsidRPr="000616E8" w:rsidRDefault="004207AB" w:rsidP="004207AB">
      <w:pPr>
        <w:pStyle w:val="Zkladnsslovnm"/>
        <w:numPr>
          <w:ilvl w:val="0"/>
          <w:numId w:val="0"/>
        </w:numPr>
      </w:pPr>
    </w:p>
    <w:p w14:paraId="0694DAA2" w14:textId="31EBA8FB" w:rsidR="00870881" w:rsidRPr="000616E8" w:rsidRDefault="0051187D" w:rsidP="00CD2103">
      <w:pPr>
        <w:pStyle w:val="Zkladnsslovnm"/>
        <w:ind w:left="0" w:firstLine="0"/>
      </w:pPr>
      <w:r w:rsidRPr="000616E8">
        <w:t xml:space="preserve">Stěžovatel </w:t>
      </w:r>
      <w:r w:rsidR="00F6188D" w:rsidRPr="000616E8">
        <w:t xml:space="preserve">žádal </w:t>
      </w:r>
      <w:r w:rsidR="000616E8" w:rsidRPr="000616E8">
        <w:t>o</w:t>
      </w:r>
      <w:r w:rsidR="000616E8">
        <w:t> </w:t>
      </w:r>
      <w:r w:rsidR="00F6188D" w:rsidRPr="000616E8">
        <w:t xml:space="preserve">předběžnou soudní ochranu dne </w:t>
      </w:r>
      <w:r w:rsidR="000616E8" w:rsidRPr="000616E8">
        <w:t>23</w:t>
      </w:r>
      <w:r w:rsidR="000616E8">
        <w:t>. </w:t>
      </w:r>
      <w:r w:rsidR="000616E8" w:rsidRPr="000616E8">
        <w:t>9</w:t>
      </w:r>
      <w:r w:rsidR="000616E8">
        <w:t>. </w:t>
      </w:r>
      <w:r w:rsidR="000616E8" w:rsidRPr="000616E8">
        <w:t>2025</w:t>
      </w:r>
      <w:r w:rsidR="00F6188D" w:rsidRPr="000616E8">
        <w:t xml:space="preserve">, </w:t>
      </w:r>
      <w:r w:rsidR="000616E8">
        <w:t>tj. </w:t>
      </w:r>
      <w:r w:rsidR="00F6188D" w:rsidRPr="000616E8">
        <w:t xml:space="preserve">ještě před uskutečněním referenda ve dnech 3. </w:t>
      </w:r>
      <w:r w:rsidR="000616E8" w:rsidRPr="000616E8">
        <w:t>a</w:t>
      </w:r>
      <w:r w:rsidR="000616E8">
        <w:t> </w:t>
      </w:r>
      <w:r w:rsidR="000616E8" w:rsidRPr="000616E8">
        <w:t>4</w:t>
      </w:r>
      <w:r w:rsidR="000616E8">
        <w:t>. </w:t>
      </w:r>
      <w:r w:rsidR="000616E8" w:rsidRPr="000616E8">
        <w:t>10</w:t>
      </w:r>
      <w:r w:rsidR="000616E8">
        <w:t>. </w:t>
      </w:r>
      <w:r w:rsidR="000616E8" w:rsidRPr="000616E8">
        <w:t>2025</w:t>
      </w:r>
      <w:r w:rsidR="00F6188D" w:rsidRPr="000616E8">
        <w:t xml:space="preserve">, k čemuž nebyl </w:t>
      </w:r>
      <w:r w:rsidR="00A066A3" w:rsidRPr="000616E8">
        <w:t xml:space="preserve">zjevně </w:t>
      </w:r>
      <w:r w:rsidR="00F6188D" w:rsidRPr="000616E8">
        <w:t xml:space="preserve">oprávněn, neboť </w:t>
      </w:r>
      <w:r w:rsidR="003A11A0" w:rsidRPr="000616E8">
        <w:t>takové oprávnění náleží pouze přípravnému výboru</w:t>
      </w:r>
      <w:r w:rsidR="00EA7D97" w:rsidRPr="000616E8">
        <w:t xml:space="preserve">. </w:t>
      </w:r>
      <w:r w:rsidR="009D0C04" w:rsidRPr="000616E8">
        <w:t xml:space="preserve">Vyhlášení referenda samo </w:t>
      </w:r>
      <w:r w:rsidR="000616E8" w:rsidRPr="000616E8">
        <w:t>o</w:t>
      </w:r>
      <w:r w:rsidR="000616E8">
        <w:t> </w:t>
      </w:r>
      <w:r w:rsidR="009D0C04" w:rsidRPr="000616E8">
        <w:t>sobě nemohlo zasáhnout do veřejn</w:t>
      </w:r>
      <w:r w:rsidR="00331DAB" w:rsidRPr="000616E8">
        <w:t>ých</w:t>
      </w:r>
      <w:r w:rsidR="009D0C04" w:rsidRPr="000616E8">
        <w:t xml:space="preserve"> subjektivní</w:t>
      </w:r>
      <w:r w:rsidR="00331DAB" w:rsidRPr="000616E8">
        <w:t>ch</w:t>
      </w:r>
      <w:r w:rsidR="009D0C04" w:rsidRPr="000616E8">
        <w:t xml:space="preserve"> práv</w:t>
      </w:r>
      <w:r w:rsidR="00CC2523" w:rsidRPr="000616E8">
        <w:t xml:space="preserve"> stěžovatele</w:t>
      </w:r>
      <w:r w:rsidR="00C07AA2" w:rsidRPr="000616E8">
        <w:t>,</w:t>
      </w:r>
      <w:r w:rsidR="00331DAB" w:rsidRPr="000616E8">
        <w:t xml:space="preserve"> k jejichž ochraně jsou správní soudy povolány (</w:t>
      </w:r>
      <w:r w:rsidR="000616E8">
        <w:t>§ </w:t>
      </w:r>
      <w:r w:rsidR="00331DAB" w:rsidRPr="000616E8">
        <w:t xml:space="preserve">2 </w:t>
      </w:r>
      <w:r w:rsidR="000616E8">
        <w:t>s. ř. s.</w:t>
      </w:r>
      <w:r w:rsidR="00331DAB" w:rsidRPr="000616E8">
        <w:t>)</w:t>
      </w:r>
      <w:r w:rsidR="009D0C04" w:rsidRPr="000616E8">
        <w:t xml:space="preserve">. </w:t>
      </w:r>
      <w:r w:rsidR="003D0A21" w:rsidRPr="000616E8">
        <w:t>Krajsk</w:t>
      </w:r>
      <w:r w:rsidR="008D190D" w:rsidRPr="000616E8">
        <w:t>ému soudu za této situace nezbylo než návrh odmítnout</w:t>
      </w:r>
      <w:r w:rsidR="00D61A31" w:rsidRPr="000616E8">
        <w:t xml:space="preserve"> pro nedostatek pravomoci. </w:t>
      </w:r>
      <w:r w:rsidR="007422C9" w:rsidRPr="000616E8">
        <w:t>Kasační stížnost je proto zjevně neúspěšná.</w:t>
      </w:r>
    </w:p>
    <w:p w14:paraId="17942297" w14:textId="77777777" w:rsidR="00870881" w:rsidRPr="000616E8" w:rsidRDefault="00870881" w:rsidP="001D1867">
      <w:pPr>
        <w:pStyle w:val="Odstavecseseznamem"/>
        <w:rPr>
          <w:rFonts w:ascii="Garamond" w:hAnsi="Garamond"/>
        </w:rPr>
      </w:pPr>
    </w:p>
    <w:p w14:paraId="5CE6DB5B" w14:textId="61A1C9A2" w:rsidR="0051187D" w:rsidRPr="000616E8" w:rsidRDefault="00F65202" w:rsidP="00B418AD">
      <w:pPr>
        <w:pStyle w:val="Zkladnsslovnm"/>
        <w:ind w:left="0" w:firstLine="0"/>
      </w:pPr>
      <w:r w:rsidRPr="000616E8">
        <w:t xml:space="preserve">Na tomto závěru nic nemění skutečnost, že navrhovatel </w:t>
      </w:r>
      <w:r w:rsidR="00842CE7" w:rsidRPr="000616E8">
        <w:t xml:space="preserve">v kasační stížnosti </w:t>
      </w:r>
      <w:r w:rsidR="001D1867" w:rsidRPr="000616E8">
        <w:t xml:space="preserve">nově </w:t>
      </w:r>
      <w:r w:rsidR="003823AE" w:rsidRPr="000616E8">
        <w:t xml:space="preserve">požadoval </w:t>
      </w:r>
      <w:r w:rsidR="000616E8" w:rsidRPr="000616E8">
        <w:t>i</w:t>
      </w:r>
      <w:r w:rsidR="000616E8">
        <w:t> </w:t>
      </w:r>
      <w:r w:rsidR="003823AE" w:rsidRPr="000616E8">
        <w:t xml:space="preserve">vyslovení neplatnosti rozhodnutí v místním referendu dle </w:t>
      </w:r>
      <w:r w:rsidR="000616E8">
        <w:t>§ </w:t>
      </w:r>
      <w:r w:rsidR="003823AE" w:rsidRPr="000616E8">
        <w:t xml:space="preserve">58 zákona </w:t>
      </w:r>
      <w:r w:rsidR="000616E8" w:rsidRPr="000616E8">
        <w:t>o</w:t>
      </w:r>
      <w:r w:rsidR="000616E8">
        <w:t> </w:t>
      </w:r>
      <w:r w:rsidR="003823AE" w:rsidRPr="000616E8">
        <w:t>místním referendu</w:t>
      </w:r>
      <w:r w:rsidR="00870881" w:rsidRPr="000616E8">
        <w:t xml:space="preserve">, </w:t>
      </w:r>
      <w:r w:rsidR="000616E8">
        <w:t>tj. </w:t>
      </w:r>
      <w:r w:rsidR="00870881" w:rsidRPr="000616E8">
        <w:t>následnou ochranu</w:t>
      </w:r>
      <w:r w:rsidR="003823AE" w:rsidRPr="000616E8">
        <w:t xml:space="preserve">. </w:t>
      </w:r>
      <w:r w:rsidR="00D67BDF" w:rsidRPr="000616E8">
        <w:t>Soudní ochranu ve věci místního referenda poskytují krajské soudy</w:t>
      </w:r>
      <w:r w:rsidR="00CB1AB3" w:rsidRPr="000616E8">
        <w:t xml:space="preserve"> </w:t>
      </w:r>
      <w:r w:rsidR="00281071" w:rsidRPr="000616E8">
        <w:t>[</w:t>
      </w:r>
      <w:r w:rsidR="000616E8">
        <w:t>§ </w:t>
      </w:r>
      <w:r w:rsidR="00CB1AB3" w:rsidRPr="000616E8">
        <w:t xml:space="preserve">4 </w:t>
      </w:r>
      <w:r w:rsidR="000616E8" w:rsidRPr="000616E8">
        <w:t>odst.</w:t>
      </w:r>
      <w:r w:rsidR="000616E8">
        <w:t> </w:t>
      </w:r>
      <w:r w:rsidR="00CB1AB3" w:rsidRPr="000616E8">
        <w:t xml:space="preserve">2 </w:t>
      </w:r>
      <w:r w:rsidR="000616E8" w:rsidRPr="000616E8">
        <w:t>písm.</w:t>
      </w:r>
      <w:r w:rsidR="000616E8">
        <w:t> </w:t>
      </w:r>
      <w:r w:rsidR="00CB1AB3" w:rsidRPr="000616E8">
        <w:t xml:space="preserve">a) ve spojení </w:t>
      </w:r>
      <w:r w:rsidR="000616E8" w:rsidRPr="000616E8">
        <w:t>s</w:t>
      </w:r>
      <w:r w:rsidR="000616E8">
        <w:t> § </w:t>
      </w:r>
      <w:r w:rsidR="00CB1AB3" w:rsidRPr="000616E8">
        <w:t xml:space="preserve">7 </w:t>
      </w:r>
      <w:r w:rsidR="000616E8" w:rsidRPr="000616E8">
        <w:t>odst.</w:t>
      </w:r>
      <w:r w:rsidR="000616E8">
        <w:t> </w:t>
      </w:r>
      <w:r w:rsidR="00CB1AB3" w:rsidRPr="000616E8">
        <w:t xml:space="preserve">1 </w:t>
      </w:r>
      <w:r w:rsidR="000616E8">
        <w:t>s. ř. s.</w:t>
      </w:r>
      <w:r w:rsidR="00281071" w:rsidRPr="000616E8">
        <w:t>]</w:t>
      </w:r>
      <w:r w:rsidR="00445808" w:rsidRPr="000616E8">
        <w:t xml:space="preserve">, jejichž </w:t>
      </w:r>
      <w:r w:rsidR="00C75860" w:rsidRPr="000616E8">
        <w:t>p</w:t>
      </w:r>
      <w:r w:rsidR="00007281" w:rsidRPr="000616E8">
        <w:t xml:space="preserve">ravomocné </w:t>
      </w:r>
      <w:r w:rsidR="00445808" w:rsidRPr="000616E8">
        <w:t xml:space="preserve">rozhodnutí lze napadnout kasační stížností </w:t>
      </w:r>
      <w:r w:rsidR="000616E8" w:rsidRPr="000616E8">
        <w:t>u</w:t>
      </w:r>
      <w:r w:rsidR="000616E8">
        <w:t> </w:t>
      </w:r>
      <w:r w:rsidR="00445808" w:rsidRPr="000616E8">
        <w:t xml:space="preserve">Nejvyššího správního soudu </w:t>
      </w:r>
      <w:r w:rsidR="005D68BB" w:rsidRPr="000616E8">
        <w:t>(</w:t>
      </w:r>
      <w:r w:rsidR="000616E8">
        <w:t>§ </w:t>
      </w:r>
      <w:r w:rsidR="005D68BB" w:rsidRPr="000616E8">
        <w:t xml:space="preserve">104 </w:t>
      </w:r>
      <w:r w:rsidR="000616E8" w:rsidRPr="000616E8">
        <w:t>odst.</w:t>
      </w:r>
      <w:r w:rsidR="000616E8">
        <w:t> </w:t>
      </w:r>
      <w:r w:rsidR="005D68BB" w:rsidRPr="000616E8">
        <w:t xml:space="preserve">1 </w:t>
      </w:r>
      <w:r w:rsidR="000616E8">
        <w:t>s. ř. s. </w:t>
      </w:r>
      <w:r w:rsidR="000616E8" w:rsidRPr="000616E8">
        <w:rPr>
          <w:i/>
          <w:iCs/>
        </w:rPr>
        <w:t>a</w:t>
      </w:r>
      <w:r w:rsidR="000616E8">
        <w:rPr>
          <w:i/>
          <w:iCs/>
        </w:rPr>
        <w:t> </w:t>
      </w:r>
      <w:r w:rsidR="005D68BB" w:rsidRPr="000616E8">
        <w:rPr>
          <w:i/>
          <w:iCs/>
        </w:rPr>
        <w:t>contrario</w:t>
      </w:r>
      <w:r w:rsidR="005D68BB" w:rsidRPr="000616E8">
        <w:t xml:space="preserve">). Předmětem řízení </w:t>
      </w:r>
      <w:r w:rsidR="000616E8" w:rsidRPr="000616E8">
        <w:t>o</w:t>
      </w:r>
      <w:r w:rsidR="000616E8">
        <w:t> </w:t>
      </w:r>
      <w:r w:rsidR="005D68BB" w:rsidRPr="000616E8">
        <w:t>kasační stížnosti je</w:t>
      </w:r>
      <w:r w:rsidR="00DE7D9E" w:rsidRPr="000616E8">
        <w:t xml:space="preserve"> tedy</w:t>
      </w:r>
      <w:r w:rsidR="005D68BB" w:rsidRPr="000616E8">
        <w:t xml:space="preserve"> přezkum pravomocného rozhodnutí krajského soudu (</w:t>
      </w:r>
      <w:r w:rsidR="000616E8">
        <w:t>§ </w:t>
      </w:r>
      <w:r w:rsidR="005D68BB" w:rsidRPr="000616E8">
        <w:t xml:space="preserve">102 </w:t>
      </w:r>
      <w:r w:rsidR="000616E8">
        <w:t>s. ř. s.</w:t>
      </w:r>
      <w:r w:rsidR="005D68BB" w:rsidRPr="000616E8">
        <w:t xml:space="preserve">). </w:t>
      </w:r>
      <w:r w:rsidR="00345D81" w:rsidRPr="000616E8">
        <w:t>K</w:t>
      </w:r>
      <w:r w:rsidR="00BA4AAD" w:rsidRPr="000616E8">
        <w:t>rajský soud</w:t>
      </w:r>
      <w:r w:rsidR="00DF0F0F" w:rsidRPr="000616E8">
        <w:t xml:space="preserve"> v napadeném rozhodnutí</w:t>
      </w:r>
      <w:r w:rsidR="00BA4AAD" w:rsidRPr="000616E8">
        <w:t xml:space="preserve"> posuzoval, zda byly splněny podmínky řízení </w:t>
      </w:r>
      <w:r w:rsidR="008F1C29" w:rsidRPr="000616E8">
        <w:t>(dána jeho pravomoc)</w:t>
      </w:r>
      <w:r w:rsidR="00DF0F0F" w:rsidRPr="000616E8">
        <w:t xml:space="preserve"> ve vztahu k</w:t>
      </w:r>
      <w:r w:rsidR="004741EE" w:rsidRPr="000616E8">
        <w:t> </w:t>
      </w:r>
      <w:r w:rsidR="00DF0F0F" w:rsidRPr="000616E8">
        <w:t>návrhu</w:t>
      </w:r>
      <w:r w:rsidR="004741EE" w:rsidRPr="000616E8">
        <w:t xml:space="preserve"> stěžovatele</w:t>
      </w:r>
      <w:r w:rsidR="00DF0F0F" w:rsidRPr="000616E8">
        <w:t xml:space="preserve"> na zrušení vyhlášeného místního referenda</w:t>
      </w:r>
      <w:r w:rsidR="00345D81" w:rsidRPr="000616E8">
        <w:t>.</w:t>
      </w:r>
      <w:r w:rsidR="00DF0F0F" w:rsidRPr="000616E8">
        <w:t xml:space="preserve"> </w:t>
      </w:r>
      <w:r w:rsidR="004741EE" w:rsidRPr="000616E8">
        <w:t xml:space="preserve">NSS </w:t>
      </w:r>
      <w:r w:rsidR="00345D81" w:rsidRPr="000616E8">
        <w:t xml:space="preserve">se tedy </w:t>
      </w:r>
      <w:r w:rsidR="004741EE" w:rsidRPr="000616E8">
        <w:t>může zabývat pouze touto právní otázkou.</w:t>
      </w:r>
    </w:p>
    <w:p w14:paraId="1D29EC9F" w14:textId="77777777" w:rsidR="003C131A" w:rsidRPr="000616E8" w:rsidRDefault="003C131A" w:rsidP="001D1867">
      <w:pPr>
        <w:pStyle w:val="Zkladnsslovnm"/>
        <w:numPr>
          <w:ilvl w:val="0"/>
          <w:numId w:val="0"/>
        </w:numPr>
      </w:pPr>
    </w:p>
    <w:p w14:paraId="5928C63D" w14:textId="419EABB4" w:rsidR="00CF249F" w:rsidRPr="000616E8" w:rsidRDefault="001D1867" w:rsidP="00F9392D">
      <w:pPr>
        <w:pStyle w:val="Zkladnsslovnm"/>
        <w:ind w:left="0" w:firstLine="0"/>
      </w:pPr>
      <w:r w:rsidRPr="000616E8">
        <w:t>Na zjevné nedůvodnosti návrhu nemůže nic změnit ani námitka</w:t>
      </w:r>
      <w:r w:rsidR="00345D81" w:rsidRPr="000616E8">
        <w:t xml:space="preserve"> stěžovatele</w:t>
      </w:r>
      <w:r w:rsidR="00F57EE3" w:rsidRPr="000616E8">
        <w:t xml:space="preserve">, kdo má </w:t>
      </w:r>
      <w:r w:rsidR="00345D81" w:rsidRPr="000616E8">
        <w:t xml:space="preserve">tedy </w:t>
      </w:r>
      <w:r w:rsidR="00C54E72" w:rsidRPr="000616E8">
        <w:t xml:space="preserve">věcně </w:t>
      </w:r>
      <w:r w:rsidR="00F57EE3" w:rsidRPr="000616E8">
        <w:t xml:space="preserve">posoudit, </w:t>
      </w:r>
      <w:r w:rsidR="00B43D12" w:rsidRPr="000616E8">
        <w:t>zda</w:t>
      </w:r>
      <w:r w:rsidR="00D02C7B" w:rsidRPr="000616E8">
        <w:t xml:space="preserve"> otázka položená </w:t>
      </w:r>
      <w:r w:rsidR="000616E8" w:rsidRPr="000616E8">
        <w:t>v</w:t>
      </w:r>
      <w:r w:rsidR="000616E8">
        <w:t> </w:t>
      </w:r>
      <w:r w:rsidR="00D02C7B" w:rsidRPr="000616E8">
        <w:t>referendu</w:t>
      </w:r>
      <w:r w:rsidR="00034FCE" w:rsidRPr="000616E8">
        <w:t xml:space="preserve"> nebyla zavádějící </w:t>
      </w:r>
      <w:r w:rsidR="000616E8" w:rsidRPr="000616E8">
        <w:t>a</w:t>
      </w:r>
      <w:r w:rsidR="000616E8">
        <w:t> </w:t>
      </w:r>
      <w:r w:rsidR="0065555C" w:rsidRPr="000616E8">
        <w:t>netýkala se</w:t>
      </w:r>
      <w:r w:rsidR="00034FCE" w:rsidRPr="000616E8">
        <w:t xml:space="preserve"> věci, </w:t>
      </w:r>
      <w:r w:rsidR="000616E8" w:rsidRPr="000616E8">
        <w:t>o</w:t>
      </w:r>
      <w:r w:rsidR="000616E8">
        <w:t> </w:t>
      </w:r>
      <w:r w:rsidR="00034FCE" w:rsidRPr="000616E8">
        <w:t xml:space="preserve">níž již bylo rozhodnuto v závazném stanovisku EIA. </w:t>
      </w:r>
      <w:r w:rsidR="00345D81" w:rsidRPr="000616E8">
        <w:t xml:space="preserve">K tomu soud uvádí, že </w:t>
      </w:r>
      <w:r w:rsidR="00D953C4" w:rsidRPr="000616E8">
        <w:t xml:space="preserve">se </w:t>
      </w:r>
      <w:r w:rsidR="00345D81" w:rsidRPr="000616E8">
        <w:t xml:space="preserve">jedná </w:t>
      </w:r>
      <w:r w:rsidR="000616E8" w:rsidRPr="000616E8">
        <w:t>o</w:t>
      </w:r>
      <w:r w:rsidR="000616E8">
        <w:t> </w:t>
      </w:r>
      <w:r w:rsidR="00D953C4" w:rsidRPr="000616E8">
        <w:t>vady</w:t>
      </w:r>
      <w:r w:rsidR="00D02C7B" w:rsidRPr="000616E8">
        <w:t>, které</w:t>
      </w:r>
      <w:r w:rsidR="006F7339" w:rsidRPr="000616E8">
        <w:t xml:space="preserve"> by bylo možné</w:t>
      </w:r>
      <w:r w:rsidR="00D02C7B" w:rsidRPr="000616E8">
        <w:t xml:space="preserve"> </w:t>
      </w:r>
      <w:r w:rsidR="00345D81" w:rsidRPr="000616E8">
        <w:t xml:space="preserve">posoudit </w:t>
      </w:r>
      <w:r w:rsidR="000616E8" w:rsidRPr="000616E8">
        <w:t>v</w:t>
      </w:r>
      <w:r w:rsidR="000616E8">
        <w:t> </w:t>
      </w:r>
      <w:r w:rsidR="00D867F3" w:rsidRPr="000616E8">
        <w:t>následn</w:t>
      </w:r>
      <w:r w:rsidR="00345D81" w:rsidRPr="000616E8">
        <w:t>ém</w:t>
      </w:r>
      <w:r w:rsidR="00D867F3" w:rsidRPr="000616E8">
        <w:t xml:space="preserve"> přezkum</w:t>
      </w:r>
      <w:r w:rsidR="00345D81" w:rsidRPr="000616E8">
        <w:t>u</w:t>
      </w:r>
      <w:r w:rsidR="006C44AC" w:rsidRPr="000616E8">
        <w:t xml:space="preserve"> místního referenda</w:t>
      </w:r>
      <w:r w:rsidR="00345D81" w:rsidRPr="000616E8">
        <w:t xml:space="preserve"> (rozsudek NSS ze dne </w:t>
      </w:r>
      <w:r w:rsidR="000616E8" w:rsidRPr="000616E8">
        <w:t>17</w:t>
      </w:r>
      <w:r w:rsidR="000616E8">
        <w:t>. </w:t>
      </w:r>
      <w:r w:rsidR="000616E8" w:rsidRPr="000616E8">
        <w:t>3</w:t>
      </w:r>
      <w:r w:rsidR="000616E8">
        <w:t>. </w:t>
      </w:r>
      <w:r w:rsidR="000616E8" w:rsidRPr="000616E8">
        <w:t>2016</w:t>
      </w:r>
      <w:r w:rsidR="00345D81" w:rsidRPr="000616E8">
        <w:t xml:space="preserve">, </w:t>
      </w:r>
      <w:r w:rsidR="000616E8" w:rsidRPr="000616E8">
        <w:t>č.</w:t>
      </w:r>
      <w:r w:rsidR="000616E8">
        <w:t> </w:t>
      </w:r>
      <w:r w:rsidR="000616E8" w:rsidRPr="000616E8">
        <w:t>j.</w:t>
      </w:r>
      <w:r w:rsidR="000616E8">
        <w:t> </w:t>
      </w:r>
      <w:proofErr w:type="spellStart"/>
      <w:r w:rsidR="00345D81" w:rsidRPr="000616E8">
        <w:t>Ars</w:t>
      </w:r>
      <w:proofErr w:type="spellEnd"/>
      <w:r w:rsidR="00345D81" w:rsidRPr="000616E8">
        <w:t xml:space="preserve"> 4/2015</w:t>
      </w:r>
      <w:r w:rsidR="000616E8">
        <w:noBreakHyphen/>
      </w:r>
      <w:r w:rsidR="00345D81" w:rsidRPr="000616E8">
        <w:t>45,</w:t>
      </w:r>
      <w:r w:rsidR="000616E8">
        <w:t xml:space="preserve"> č. </w:t>
      </w:r>
      <w:r w:rsidR="00345D81" w:rsidRPr="000616E8">
        <w:t xml:space="preserve">3414/2016 </w:t>
      </w:r>
      <w:r w:rsidR="000616E8">
        <w:t>Sb. NSS</w:t>
      </w:r>
      <w:r w:rsidR="00345D81" w:rsidRPr="000616E8">
        <w:t xml:space="preserve">, body 31 </w:t>
      </w:r>
      <w:r w:rsidR="000616E8" w:rsidRPr="000616E8">
        <w:t>a</w:t>
      </w:r>
      <w:r w:rsidR="000616E8">
        <w:t> </w:t>
      </w:r>
      <w:r w:rsidR="00345D81" w:rsidRPr="000616E8">
        <w:t>32)</w:t>
      </w:r>
      <w:r w:rsidR="00C745B5" w:rsidRPr="000616E8">
        <w:t>.</w:t>
      </w:r>
      <w:r w:rsidR="006F447F" w:rsidRPr="000616E8">
        <w:t xml:space="preserve"> </w:t>
      </w:r>
    </w:p>
    <w:p w14:paraId="1F7A11D2" w14:textId="77777777" w:rsidR="0051187D" w:rsidRPr="000616E8" w:rsidRDefault="0051187D" w:rsidP="00564D5B">
      <w:pPr>
        <w:pStyle w:val="Zkladnsslovnm"/>
        <w:numPr>
          <w:ilvl w:val="0"/>
          <w:numId w:val="0"/>
        </w:numPr>
      </w:pPr>
    </w:p>
    <w:p w14:paraId="22D5E15A" w14:textId="546B0DAE" w:rsidR="00F9392D" w:rsidRPr="000616E8" w:rsidRDefault="00F9392D" w:rsidP="00CD2103">
      <w:pPr>
        <w:pStyle w:val="Zkladnsslovnm"/>
        <w:ind w:left="0" w:firstLine="0"/>
      </w:pPr>
      <w:r w:rsidRPr="000616E8">
        <w:t>K tomu soud nicméně nad rámec poznamenává, že této soudní ochrany se může domoci pouze oprávněná osoba, kterou se rozumí každá osoba, která má právo volit do zastupitelstva obce (</w:t>
      </w:r>
      <w:r w:rsidR="000616E8">
        <w:t>§ </w:t>
      </w:r>
      <w:r w:rsidRPr="000616E8">
        <w:t xml:space="preserve">58 </w:t>
      </w:r>
      <w:r w:rsidR="000616E8" w:rsidRPr="000616E8">
        <w:t>odst.</w:t>
      </w:r>
      <w:r w:rsidR="000616E8">
        <w:t> </w:t>
      </w:r>
      <w:r w:rsidRPr="000616E8">
        <w:t xml:space="preserve">1 ve spojení </w:t>
      </w:r>
      <w:r w:rsidR="000616E8" w:rsidRPr="000616E8">
        <w:t>s</w:t>
      </w:r>
      <w:r w:rsidR="000616E8">
        <w:t> § </w:t>
      </w:r>
      <w:r w:rsidRPr="000616E8">
        <w:t xml:space="preserve">2 zákona </w:t>
      </w:r>
      <w:r w:rsidR="000616E8" w:rsidRPr="000616E8">
        <w:t>o</w:t>
      </w:r>
      <w:r w:rsidR="000616E8">
        <w:t> </w:t>
      </w:r>
      <w:r w:rsidRPr="000616E8">
        <w:t>místním referendu), tedy zletilý občan obce (</w:t>
      </w:r>
      <w:r w:rsidR="000616E8">
        <w:t>§ </w:t>
      </w:r>
      <w:r w:rsidRPr="000616E8">
        <w:t xml:space="preserve">4 </w:t>
      </w:r>
      <w:r w:rsidR="000616E8" w:rsidRPr="000616E8">
        <w:t>odst.</w:t>
      </w:r>
      <w:r w:rsidR="000616E8">
        <w:t> </w:t>
      </w:r>
      <w:r w:rsidRPr="000616E8">
        <w:t>1 zákona</w:t>
      </w:r>
      <w:r w:rsidR="000616E8">
        <w:t xml:space="preserve"> č. </w:t>
      </w:r>
      <w:r w:rsidRPr="000616E8">
        <w:t>491/2001</w:t>
      </w:r>
      <w:r w:rsidR="000616E8">
        <w:t> Sb.</w:t>
      </w:r>
      <w:r w:rsidRPr="000616E8">
        <w:t xml:space="preserve">, </w:t>
      </w:r>
      <w:r w:rsidR="000616E8" w:rsidRPr="000616E8">
        <w:t>o</w:t>
      </w:r>
      <w:r w:rsidR="000616E8">
        <w:t> </w:t>
      </w:r>
      <w:r w:rsidRPr="000616E8">
        <w:t xml:space="preserve">volbách do zastupitelstev obcí), nebo cizí státní občan, který dosáhl věku 18 let, je v obci hlášen k trvalému pobytu, </w:t>
      </w:r>
      <w:r w:rsidR="000616E8" w:rsidRPr="000616E8">
        <w:t>a</w:t>
      </w:r>
      <w:r w:rsidR="000616E8">
        <w:t> </w:t>
      </w:r>
      <w:r w:rsidRPr="000616E8">
        <w:t>stanoví tak vyhlášená mezinárodní smlouva, kterou je ČR vázána (</w:t>
      </w:r>
      <w:r w:rsidR="000616E8">
        <w:t>§ </w:t>
      </w:r>
      <w:r w:rsidRPr="000616E8">
        <w:t>17 zákona</w:t>
      </w:r>
      <w:r w:rsidR="000616E8">
        <w:t xml:space="preserve"> č. </w:t>
      </w:r>
      <w:r w:rsidRPr="000616E8">
        <w:t>128/2000</w:t>
      </w:r>
      <w:r w:rsidR="000616E8">
        <w:t> Sb.</w:t>
      </w:r>
      <w:r w:rsidRPr="000616E8">
        <w:t xml:space="preserve">, </w:t>
      </w:r>
      <w:r w:rsidR="000616E8" w:rsidRPr="000616E8">
        <w:t>o</w:t>
      </w:r>
      <w:r w:rsidR="000616E8">
        <w:t> </w:t>
      </w:r>
      <w:r w:rsidRPr="000616E8">
        <w:t>obcích). Správní soudy totiž nejsou povolány k obecné ochraně zákonnosti činnosti veřejné správy, nýbrž primárně k ochraně veřejných subjektivních práv osob (</w:t>
      </w:r>
      <w:r w:rsidR="000616E8" w:rsidRPr="000616E8">
        <w:t>čl.</w:t>
      </w:r>
      <w:r w:rsidR="000616E8">
        <w:t> </w:t>
      </w:r>
      <w:r w:rsidRPr="000616E8">
        <w:t xml:space="preserve">36 </w:t>
      </w:r>
      <w:r w:rsidR="000616E8" w:rsidRPr="000616E8">
        <w:t>odst.</w:t>
      </w:r>
      <w:r w:rsidR="000616E8">
        <w:t> </w:t>
      </w:r>
      <w:r w:rsidRPr="000616E8">
        <w:t xml:space="preserve">2 Listiny základních práv </w:t>
      </w:r>
      <w:r w:rsidR="000616E8" w:rsidRPr="000616E8">
        <w:t>a</w:t>
      </w:r>
      <w:r w:rsidR="000616E8">
        <w:t> </w:t>
      </w:r>
      <w:r w:rsidRPr="000616E8">
        <w:t xml:space="preserve">svobod </w:t>
      </w:r>
      <w:r w:rsidR="000616E8" w:rsidRPr="000616E8">
        <w:t>a</w:t>
      </w:r>
      <w:r w:rsidR="000616E8">
        <w:t> § </w:t>
      </w:r>
      <w:r w:rsidRPr="000616E8">
        <w:t xml:space="preserve">2 </w:t>
      </w:r>
      <w:r w:rsidR="000616E8">
        <w:t>s. ř. s.</w:t>
      </w:r>
      <w:r w:rsidRPr="000616E8">
        <w:t xml:space="preserve">); v tomto případě práva na řádný průběh místního referenda. Ačkoliv se v případě soudnictví ve věcech voleb </w:t>
      </w:r>
      <w:r w:rsidR="000616E8" w:rsidRPr="000616E8">
        <w:t>a</w:t>
      </w:r>
      <w:r w:rsidR="000616E8">
        <w:t> </w:t>
      </w:r>
      <w:r w:rsidRPr="000616E8">
        <w:t xml:space="preserve">referenda promítá </w:t>
      </w:r>
      <w:r w:rsidR="000616E8" w:rsidRPr="000616E8">
        <w:t>i</w:t>
      </w:r>
      <w:r w:rsidR="000616E8">
        <w:t> </w:t>
      </w:r>
      <w:r w:rsidRPr="000616E8">
        <w:t xml:space="preserve">obecný zájem na jejich zákonnosti, iniciátorem soudního přezkumu jsou podle zákona pouze ty osoby, </w:t>
      </w:r>
      <w:r w:rsidR="00564D5B" w:rsidRPr="000616E8">
        <w:t>kterých se případná nezákonnost bezprostředně dotýká</w:t>
      </w:r>
      <w:r w:rsidRPr="000616E8">
        <w:t xml:space="preserve">. </w:t>
      </w:r>
      <w:r w:rsidR="000616E8" w:rsidRPr="000616E8">
        <w:t>I</w:t>
      </w:r>
      <w:r w:rsidR="000616E8">
        <w:t> </w:t>
      </w:r>
      <w:r w:rsidRPr="000616E8">
        <w:t xml:space="preserve">pokud jde </w:t>
      </w:r>
      <w:r w:rsidR="000616E8" w:rsidRPr="000616E8">
        <w:t>o</w:t>
      </w:r>
      <w:r w:rsidR="000616E8">
        <w:t> </w:t>
      </w:r>
      <w:r w:rsidRPr="000616E8">
        <w:t xml:space="preserve">následný přezkum referenda, dle výše citovaných ustanovení zákona </w:t>
      </w:r>
      <w:r w:rsidR="000616E8" w:rsidRPr="000616E8">
        <w:t>o</w:t>
      </w:r>
      <w:r w:rsidR="000616E8">
        <w:t> </w:t>
      </w:r>
      <w:r w:rsidRPr="000616E8">
        <w:t xml:space="preserve">místním referendu náleží právo jej iniciovat pouze oprávněným osobám. Ačkoli je stěžovatel znalcem pro obory čistota ovzduší, ochrana přírody, </w:t>
      </w:r>
      <w:r w:rsidR="000616E8" w:rsidRPr="000616E8">
        <w:t>a</w:t>
      </w:r>
      <w:r w:rsidR="000616E8">
        <w:t> </w:t>
      </w:r>
      <w:r w:rsidRPr="000616E8">
        <w:t xml:space="preserve">vodní hospodářství, není občanem Písku, kde se místní referendum uskutečnilo, ale Lázní Bohdaneč. Kromě toho, že se tedy </w:t>
      </w:r>
      <w:r w:rsidR="00564D5B" w:rsidRPr="000616E8">
        <w:t>nelze</w:t>
      </w:r>
      <w:r w:rsidRPr="000616E8">
        <w:t xml:space="preserve"> domáhat zrušení vyhlášení referenda, stěžovatel se navíc domáhá ochrany obecné zákonnosti. </w:t>
      </w:r>
      <w:r w:rsidR="000616E8" w:rsidRPr="000616E8">
        <w:t>I</w:t>
      </w:r>
      <w:r w:rsidR="000616E8">
        <w:t> </w:t>
      </w:r>
      <w:r w:rsidRPr="000616E8">
        <w:t xml:space="preserve">z tohoto důvodu nesplňuje tedy nezbytnou </w:t>
      </w:r>
      <w:r w:rsidRPr="000616E8">
        <w:lastRenderedPageBreak/>
        <w:t xml:space="preserve">podmínku pro přístup k soudu. Proto nebylo zapotřebí, aby stěžovatel věc blíže objasnil při jednání, jak navrhoval v podání ze dne </w:t>
      </w:r>
      <w:r w:rsidR="000616E8" w:rsidRPr="000616E8">
        <w:t>6</w:t>
      </w:r>
      <w:r w:rsidR="000616E8">
        <w:t>. </w:t>
      </w:r>
      <w:r w:rsidR="000616E8" w:rsidRPr="000616E8">
        <w:t>11</w:t>
      </w:r>
      <w:r w:rsidR="000616E8">
        <w:t>. </w:t>
      </w:r>
      <w:r w:rsidR="000616E8" w:rsidRPr="000616E8">
        <w:t>2025</w:t>
      </w:r>
      <w:r w:rsidRPr="000616E8">
        <w:t>.</w:t>
      </w:r>
    </w:p>
    <w:p w14:paraId="12AA2124" w14:textId="77777777" w:rsidR="00F9392D" w:rsidRPr="000616E8" w:rsidRDefault="00F9392D" w:rsidP="00564D5B">
      <w:pPr>
        <w:pStyle w:val="Zkladnsslovnm"/>
        <w:numPr>
          <w:ilvl w:val="0"/>
          <w:numId w:val="0"/>
        </w:numPr>
      </w:pPr>
    </w:p>
    <w:p w14:paraId="17DA62FC" w14:textId="2E7D9550" w:rsidR="00CD2103" w:rsidRPr="000616E8" w:rsidRDefault="00D90C77" w:rsidP="00CD2103">
      <w:pPr>
        <w:pStyle w:val="Zkladnsslovnm"/>
        <w:ind w:left="0" w:firstLine="0"/>
      </w:pPr>
      <w:r w:rsidRPr="000616E8">
        <w:t>S</w:t>
      </w:r>
      <w:r w:rsidR="005F69BA" w:rsidRPr="000616E8">
        <w:t xml:space="preserve">těžovatelova </w:t>
      </w:r>
      <w:r w:rsidR="00CD2103" w:rsidRPr="000616E8">
        <w:t xml:space="preserve">kasační stížnost je </w:t>
      </w:r>
      <w:r w:rsidR="00645A3A" w:rsidRPr="000616E8">
        <w:t>ze shora uvedených důvodů</w:t>
      </w:r>
      <w:r w:rsidR="00CD2103" w:rsidRPr="000616E8">
        <w:t xml:space="preserve"> zjevně neúspěšn</w:t>
      </w:r>
      <w:r w:rsidR="005F69BA" w:rsidRPr="000616E8">
        <w:t>á</w:t>
      </w:r>
      <w:r w:rsidR="00CD2103" w:rsidRPr="000616E8">
        <w:t>. Zjevná neúspěšnost je přitom zjistitelná okamžitě, nesporně a bez jakýchkoliv pochyb, aniž by bylo nutn</w:t>
      </w:r>
      <w:r w:rsidR="005F69BA" w:rsidRPr="000616E8">
        <w:t>é</w:t>
      </w:r>
      <w:r w:rsidR="00CD2103" w:rsidRPr="000616E8">
        <w:t xml:space="preserve"> provádět dokazování. </w:t>
      </w:r>
    </w:p>
    <w:p w14:paraId="17DA62FD" w14:textId="77777777" w:rsidR="00CD2103" w:rsidRPr="000616E8" w:rsidRDefault="00CD2103" w:rsidP="00CD2103">
      <w:pPr>
        <w:pStyle w:val="Zkladnsslovnm"/>
        <w:numPr>
          <w:ilvl w:val="0"/>
          <w:numId w:val="0"/>
        </w:numPr>
        <w:ind w:left="1440" w:hanging="360"/>
      </w:pPr>
    </w:p>
    <w:p w14:paraId="17DA62FE" w14:textId="63C7748D" w:rsidR="00CD2103" w:rsidRPr="000616E8" w:rsidRDefault="00CD2103" w:rsidP="00CD2103">
      <w:pPr>
        <w:pStyle w:val="Zkladnsslovnm"/>
        <w:ind w:left="0" w:firstLine="0"/>
      </w:pPr>
      <w:r w:rsidRPr="000616E8">
        <w:t>Jelikož tak nebyla splněna jedna z podmínek nutných k přiznání osvobození od soudních poplatků, soud žádost stěžovatele výrokem I tohoto usnesení zamítl.</w:t>
      </w:r>
    </w:p>
    <w:p w14:paraId="17DA62FF" w14:textId="77777777" w:rsidR="00CD2103" w:rsidRPr="000616E8" w:rsidRDefault="00CD2103" w:rsidP="00CD2103">
      <w:pPr>
        <w:pStyle w:val="Odstavecseseznamem"/>
        <w:rPr>
          <w:rFonts w:ascii="Garamond" w:hAnsi="Garamond"/>
        </w:rPr>
      </w:pPr>
    </w:p>
    <w:p w14:paraId="17DA6300" w14:textId="0DFD4460" w:rsidR="00CD2103" w:rsidRPr="000616E8" w:rsidRDefault="00CD2103" w:rsidP="00CD2103">
      <w:pPr>
        <w:pStyle w:val="Zkladnsslovnm"/>
        <w:ind w:left="0" w:firstLine="0"/>
      </w:pPr>
      <w:r w:rsidRPr="000616E8">
        <w:rPr>
          <w:rFonts w:cs="Garamond"/>
        </w:rPr>
        <w:t>Vzhledem k tomu, že stěžovateli</w:t>
      </w:r>
      <w:r w:rsidRPr="000616E8">
        <w:t xml:space="preserve"> nebylo přiznáno osvobození od soudních poplatků,</w:t>
      </w:r>
      <w:r w:rsidRPr="000616E8">
        <w:rPr>
          <w:rFonts w:cs="Garamond"/>
        </w:rPr>
        <w:t xml:space="preserve"> nebylo možno vyhovět ani jeho návrhu na ustanovení zástupce z řad advokátů, protože podle </w:t>
      </w:r>
      <w:r w:rsidR="000616E8">
        <w:rPr>
          <w:rFonts w:cs="Garamond"/>
        </w:rPr>
        <w:t>§ </w:t>
      </w:r>
      <w:r w:rsidRPr="000616E8">
        <w:rPr>
          <w:rFonts w:cs="Garamond"/>
        </w:rPr>
        <w:t xml:space="preserve">35 odst. 10 </w:t>
      </w:r>
      <w:r w:rsidR="000616E8">
        <w:rPr>
          <w:rFonts w:cs="Garamond"/>
        </w:rPr>
        <w:t>s. ř. s. </w:t>
      </w:r>
      <w:r w:rsidRPr="000616E8">
        <w:rPr>
          <w:rFonts w:cs="Garamond"/>
        </w:rPr>
        <w:t>lze účastníkovi ustanovit zástupce jen tehdy, splňuje</w:t>
      </w:r>
      <w:r w:rsidRPr="000616E8">
        <w:rPr>
          <w:rFonts w:cs="Garamond"/>
        </w:rPr>
        <w:noBreakHyphen/>
        <w:t>li předpoklady pro osvobození od soudních poplatků.</w:t>
      </w:r>
    </w:p>
    <w:p w14:paraId="17DA6301" w14:textId="77777777" w:rsidR="00CD2103" w:rsidRPr="000616E8" w:rsidRDefault="00CD2103" w:rsidP="00CD2103">
      <w:pPr>
        <w:pStyle w:val="Zkladnsslovnm"/>
        <w:numPr>
          <w:ilvl w:val="0"/>
          <w:numId w:val="0"/>
        </w:numPr>
      </w:pPr>
    </w:p>
    <w:p w14:paraId="17DA6302" w14:textId="10E89EE0" w:rsidR="00CD2103" w:rsidRPr="000616E8" w:rsidRDefault="00CD2103" w:rsidP="00CD2103">
      <w:pPr>
        <w:pStyle w:val="Zkladnsslovnm"/>
        <w:numPr>
          <w:ilvl w:val="0"/>
          <w:numId w:val="0"/>
        </w:numPr>
        <w:rPr>
          <w:b/>
        </w:rPr>
      </w:pPr>
      <w:r w:rsidRPr="000616E8">
        <w:rPr>
          <w:b/>
        </w:rPr>
        <w:t>K výroku III:</w:t>
      </w:r>
    </w:p>
    <w:p w14:paraId="17DA6303" w14:textId="2E572AB6" w:rsidR="00CD2103" w:rsidRPr="000616E8" w:rsidRDefault="00CD2103" w:rsidP="000477ED">
      <w:pPr>
        <w:numPr>
          <w:ilvl w:val="0"/>
          <w:numId w:val="19"/>
        </w:numPr>
        <w:ind w:hanging="786"/>
      </w:pPr>
      <w:r w:rsidRPr="000616E8">
        <w:t>V souladu s </w:t>
      </w:r>
      <w:r w:rsidR="000616E8">
        <w:t>§ </w:t>
      </w:r>
      <w:r w:rsidRPr="000616E8">
        <w:t>4 odst. 1 písm. d) zákona č. 549/1991 Sb., o soudních poplatcích, ve znění pozdějších předpisů, je s podáním kasační stížnosti spojen vznik poplatkové povinnosti. Podle položky č. 19 sazebníku soudních poplatků, který je přílohou uvedeného zákona, je</w:t>
      </w:r>
      <w:r w:rsidR="00F15DF3">
        <w:t> </w:t>
      </w:r>
      <w:r w:rsidRPr="000616E8">
        <w:t xml:space="preserve">kasační stížnost zpoplatněna částkou </w:t>
      </w:r>
      <w:r w:rsidR="000616E8" w:rsidRPr="000616E8">
        <w:t>5</w:t>
      </w:r>
      <w:r w:rsidR="000616E8">
        <w:t> </w:t>
      </w:r>
      <w:r w:rsidR="000616E8" w:rsidRPr="000616E8">
        <w:t>000</w:t>
      </w:r>
      <w:r w:rsidRPr="000616E8">
        <w:t> Kč.</w:t>
      </w:r>
    </w:p>
    <w:p w14:paraId="17DA6304" w14:textId="77777777" w:rsidR="00CD2103" w:rsidRPr="000616E8" w:rsidRDefault="00CD2103" w:rsidP="00CD2103"/>
    <w:p w14:paraId="17DA6305" w14:textId="77777777" w:rsidR="00CD2103" w:rsidRPr="000616E8" w:rsidRDefault="00CD2103" w:rsidP="000477ED">
      <w:pPr>
        <w:numPr>
          <w:ilvl w:val="0"/>
          <w:numId w:val="19"/>
        </w:numPr>
        <w:ind w:left="0" w:firstLine="0"/>
      </w:pPr>
      <w:r w:rsidRPr="000616E8">
        <w:t xml:space="preserve">Tento soudní poplatek nebyl současně s podáním kasační stížnosti zaplacen, soud proto stěžovatele vyzval ke splnění poplatkové povinnosti a stanovil mu k tomu přiměřenou lhůtu. </w:t>
      </w:r>
    </w:p>
    <w:p w14:paraId="17DA6306" w14:textId="77777777" w:rsidR="00CD2103" w:rsidRPr="000616E8" w:rsidRDefault="00CD2103" w:rsidP="00CD2103"/>
    <w:p w14:paraId="17DA6308" w14:textId="78DC2E28" w:rsidR="00CD2103" w:rsidRPr="000616E8" w:rsidRDefault="00CD2103" w:rsidP="000477ED">
      <w:pPr>
        <w:numPr>
          <w:ilvl w:val="0"/>
          <w:numId w:val="19"/>
        </w:numPr>
        <w:ind w:left="0" w:firstLine="0"/>
      </w:pPr>
      <w:r w:rsidRPr="000616E8">
        <w:t>Soudní poplatek lze zaplatit:</w:t>
      </w:r>
    </w:p>
    <w:p w14:paraId="06D8CAA3" w14:textId="5FC2640D" w:rsidR="00D47B79" w:rsidRPr="000616E8" w:rsidRDefault="00CD2103" w:rsidP="00D47B79">
      <w:pPr>
        <w:ind w:left="1134" w:hanging="283"/>
      </w:pPr>
      <w:r w:rsidRPr="000616E8">
        <w:noBreakHyphen/>
        <w:t xml:space="preserve"> </w:t>
      </w:r>
      <w:r w:rsidRPr="000616E8">
        <w:tab/>
        <w:t xml:space="preserve">bezhotovostně převodem na účet soudu číslo: </w:t>
      </w:r>
      <w:proofErr w:type="gramStart"/>
      <w:r w:rsidRPr="000616E8">
        <w:rPr>
          <w:b/>
        </w:rPr>
        <w:t>3703 – 46127621</w:t>
      </w:r>
      <w:proofErr w:type="gramEnd"/>
      <w:r w:rsidRPr="000616E8">
        <w:rPr>
          <w:b/>
        </w:rPr>
        <w:t>/0710</w:t>
      </w:r>
      <w:r w:rsidRPr="000616E8">
        <w:t>, vedený u České národní banky, pobočka Brno. Závazný variabilní symbol pro identifikaci platby je </w:t>
      </w:r>
      <w:r w:rsidR="00A71FEA" w:rsidRPr="000616E8">
        <w:t>1001100725</w:t>
      </w:r>
    </w:p>
    <w:p w14:paraId="7DA76193" w14:textId="1EAD2A63" w:rsidR="00D47B79" w:rsidRDefault="000616E8" w:rsidP="00D47B79">
      <w:pPr>
        <w:ind w:left="1134" w:hanging="283"/>
      </w:pPr>
      <w:r>
        <w:noBreakHyphen/>
      </w:r>
      <w:r w:rsidR="00D47B79" w:rsidRPr="000616E8">
        <w:t xml:space="preserve"> QR kódem</w:t>
      </w:r>
    </w:p>
    <w:p w14:paraId="69A02646" w14:textId="6550BB49" w:rsidR="000477ED" w:rsidRPr="000616E8" w:rsidRDefault="000477ED" w:rsidP="00D47B79">
      <w:pPr>
        <w:ind w:left="1134" w:hanging="283"/>
      </w:pPr>
      <w:r w:rsidRPr="000477ED">
        <w:rPr>
          <w:noProof/>
        </w:rPr>
        <w:drawing>
          <wp:inline distT="0" distB="0" distL="0" distR="0" wp14:anchorId="652DD30F" wp14:editId="2A06C3BD">
            <wp:extent cx="1857375" cy="1857375"/>
            <wp:effectExtent l="0" t="0" r="9525" b="9525"/>
            <wp:docPr id="6062857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85711" name=""/>
                    <pic:cNvPicPr/>
                  </pic:nvPicPr>
                  <pic:blipFill>
                    <a:blip r:embed="rId11"/>
                    <a:stretch>
                      <a:fillRect/>
                    </a:stretch>
                  </pic:blipFill>
                  <pic:spPr>
                    <a:xfrm>
                      <a:off x="0" y="0"/>
                      <a:ext cx="1857375" cy="1857375"/>
                    </a:xfrm>
                    <a:prstGeom prst="rect">
                      <a:avLst/>
                    </a:prstGeom>
                  </pic:spPr>
                </pic:pic>
              </a:graphicData>
            </a:graphic>
          </wp:inline>
        </w:drawing>
      </w:r>
    </w:p>
    <w:p w14:paraId="17DA630A" w14:textId="77777777" w:rsidR="00CD2103" w:rsidRPr="000616E8" w:rsidRDefault="00CD2103" w:rsidP="00CD2103">
      <w:pPr>
        <w:ind w:left="1134" w:hanging="283"/>
      </w:pPr>
    </w:p>
    <w:p w14:paraId="17DA630B" w14:textId="4723A754" w:rsidR="00CD2103" w:rsidRPr="000616E8" w:rsidRDefault="00CD2103" w:rsidP="00CD2103">
      <w:pPr>
        <w:keepNext/>
      </w:pPr>
      <w:r w:rsidRPr="000616E8">
        <w:rPr>
          <w:b/>
        </w:rPr>
        <w:t>K výroku IV:</w:t>
      </w:r>
    </w:p>
    <w:p w14:paraId="17DA630C" w14:textId="1D4FBA10" w:rsidR="00CD2103" w:rsidRPr="000616E8" w:rsidRDefault="00CD2103" w:rsidP="000477ED">
      <w:pPr>
        <w:numPr>
          <w:ilvl w:val="0"/>
          <w:numId w:val="19"/>
        </w:numPr>
        <w:ind w:left="0" w:firstLine="0"/>
      </w:pPr>
      <w:r w:rsidRPr="000616E8">
        <w:rPr>
          <w:rFonts w:eastAsiaTheme="minorHAnsi" w:cstheme="minorBidi"/>
          <w:szCs w:val="22"/>
          <w:lang w:eastAsia="en-US"/>
        </w:rPr>
        <w:t>Podle </w:t>
      </w:r>
      <w:r w:rsidR="000616E8">
        <w:rPr>
          <w:rFonts w:eastAsia="Calibri" w:cs="Garamond"/>
          <w:lang w:eastAsia="en-US"/>
        </w:rPr>
        <w:t>§ </w:t>
      </w:r>
      <w:r w:rsidRPr="000616E8">
        <w:rPr>
          <w:rFonts w:eastAsia="Calibri" w:cs="Garamond"/>
          <w:lang w:eastAsia="en-US"/>
        </w:rPr>
        <w:t xml:space="preserve">105 odst. 2 </w:t>
      </w:r>
      <w:r w:rsidR="000616E8">
        <w:rPr>
          <w:rFonts w:eastAsia="Calibri" w:cs="Garamond"/>
          <w:lang w:eastAsia="en-US"/>
        </w:rPr>
        <w:t>s. ř. s. </w:t>
      </w:r>
      <w:r w:rsidRPr="000616E8">
        <w:rPr>
          <w:rFonts w:eastAsia="Calibri" w:cs="Garamond"/>
          <w:lang w:eastAsia="en-US"/>
        </w:rPr>
        <w:t>musí být stěžovatel v řízení o kasační stížnosti zastoupen advokátem; to neplatí, má</w:t>
      </w:r>
      <w:r w:rsidRPr="000616E8">
        <w:rPr>
          <w:rFonts w:eastAsia="Calibri" w:cs="Garamond"/>
          <w:lang w:eastAsia="en-US"/>
        </w:rPr>
        <w:noBreakHyphen/>
        <w:t>li stěžovatel, jeho zaměstnanec nebo člen, který za něj jedná nebo jej zastupuje, vysokoškolské právnické vzdělání, které je podle zvláštních zákonů vyžadováno pro výkon advokacie.</w:t>
      </w:r>
      <w:r w:rsidR="00D843CF" w:rsidRPr="000616E8">
        <w:rPr>
          <w:rFonts w:eastAsia="Calibri" w:cs="Garamond"/>
          <w:lang w:eastAsia="en-US"/>
        </w:rPr>
        <w:t xml:space="preserve"> </w:t>
      </w:r>
      <w:r w:rsidR="00674F8C" w:rsidRPr="000616E8">
        <w:rPr>
          <w:rFonts w:eastAsia="Calibri" w:cs="Garamond"/>
          <w:lang w:eastAsia="en-US"/>
        </w:rPr>
        <w:t xml:space="preserve">Povinné zastoupení advokátem </w:t>
      </w:r>
      <w:r w:rsidR="00CD629A" w:rsidRPr="000616E8">
        <w:rPr>
          <w:rFonts w:eastAsia="Calibri" w:cs="Garamond"/>
          <w:lang w:eastAsia="en-US"/>
        </w:rPr>
        <w:t xml:space="preserve">je vyžadováno </w:t>
      </w:r>
      <w:r w:rsidR="000616E8" w:rsidRPr="000616E8">
        <w:rPr>
          <w:rFonts w:eastAsia="Calibri" w:cs="Garamond"/>
          <w:lang w:eastAsia="en-US"/>
        </w:rPr>
        <w:t>i</w:t>
      </w:r>
      <w:r w:rsidR="000616E8">
        <w:rPr>
          <w:rFonts w:eastAsia="Calibri" w:cs="Garamond"/>
          <w:lang w:eastAsia="en-US"/>
        </w:rPr>
        <w:t> </w:t>
      </w:r>
      <w:r w:rsidR="000616E8" w:rsidRPr="000616E8">
        <w:rPr>
          <w:rFonts w:eastAsia="Calibri" w:cs="Garamond"/>
          <w:lang w:eastAsia="en-US"/>
        </w:rPr>
        <w:t>v</w:t>
      </w:r>
      <w:r w:rsidR="000616E8">
        <w:rPr>
          <w:rFonts w:eastAsia="Calibri" w:cs="Garamond"/>
          <w:lang w:eastAsia="en-US"/>
        </w:rPr>
        <w:t> </w:t>
      </w:r>
      <w:r w:rsidR="00D843CF" w:rsidRPr="000616E8">
        <w:rPr>
          <w:rFonts w:eastAsia="Calibri" w:cs="Garamond"/>
          <w:lang w:eastAsia="en-US"/>
        </w:rPr>
        <w:t xml:space="preserve">řízení </w:t>
      </w:r>
      <w:r w:rsidR="000616E8" w:rsidRPr="000616E8">
        <w:rPr>
          <w:rFonts w:eastAsia="Calibri" w:cs="Garamond"/>
          <w:lang w:eastAsia="en-US"/>
        </w:rPr>
        <w:t>o</w:t>
      </w:r>
      <w:r w:rsidR="000616E8">
        <w:rPr>
          <w:rFonts w:eastAsia="Calibri" w:cs="Garamond"/>
          <w:lang w:eastAsia="en-US"/>
        </w:rPr>
        <w:t> </w:t>
      </w:r>
      <w:r w:rsidR="00D843CF" w:rsidRPr="000616E8">
        <w:rPr>
          <w:rFonts w:eastAsia="Calibri" w:cs="Garamond"/>
          <w:lang w:eastAsia="en-US"/>
        </w:rPr>
        <w:t xml:space="preserve">kasační stížnosti proti rozhodnutí krajského soudu ve věci místního referenda </w:t>
      </w:r>
      <w:r w:rsidR="008A1894" w:rsidRPr="000616E8">
        <w:rPr>
          <w:rFonts w:eastAsia="Calibri" w:cs="Garamond"/>
          <w:lang w:eastAsia="en-US"/>
        </w:rPr>
        <w:t xml:space="preserve">dle </w:t>
      </w:r>
      <w:r w:rsidR="000616E8">
        <w:rPr>
          <w:rFonts w:eastAsia="Calibri" w:cs="Garamond"/>
          <w:lang w:eastAsia="en-US"/>
        </w:rPr>
        <w:t>§ </w:t>
      </w:r>
      <w:r w:rsidR="008A1894" w:rsidRPr="000616E8">
        <w:rPr>
          <w:rFonts w:eastAsia="Calibri" w:cs="Garamond"/>
          <w:lang w:eastAsia="en-US"/>
        </w:rPr>
        <w:t xml:space="preserve">91a </w:t>
      </w:r>
      <w:r w:rsidR="000616E8">
        <w:rPr>
          <w:rFonts w:eastAsia="Calibri" w:cs="Garamond"/>
          <w:lang w:eastAsia="en-US"/>
        </w:rPr>
        <w:t>s. ř. s. </w:t>
      </w:r>
      <w:r w:rsidR="008A1894" w:rsidRPr="000616E8">
        <w:rPr>
          <w:rFonts w:eastAsia="Calibri" w:cs="Garamond"/>
          <w:lang w:eastAsia="en-US"/>
        </w:rPr>
        <w:t>(</w:t>
      </w:r>
      <w:r w:rsidR="0054597C" w:rsidRPr="000616E8">
        <w:rPr>
          <w:rFonts w:eastAsia="Calibri" w:cs="Garamond"/>
          <w:lang w:eastAsia="en-US"/>
        </w:rPr>
        <w:t>rozsudek NSS ze</w:t>
      </w:r>
      <w:r w:rsidR="00F15DF3">
        <w:rPr>
          <w:rFonts w:eastAsia="Calibri" w:cs="Garamond"/>
          <w:lang w:eastAsia="en-US"/>
        </w:rPr>
        <w:t> </w:t>
      </w:r>
      <w:r w:rsidR="0054597C" w:rsidRPr="000616E8">
        <w:rPr>
          <w:rFonts w:eastAsia="Calibri" w:cs="Garamond"/>
          <w:lang w:eastAsia="en-US"/>
        </w:rPr>
        <w:t xml:space="preserve">dne </w:t>
      </w:r>
      <w:r w:rsidR="000616E8" w:rsidRPr="000616E8">
        <w:rPr>
          <w:rFonts w:eastAsia="Calibri" w:cs="Garamond"/>
          <w:lang w:eastAsia="en-US"/>
        </w:rPr>
        <w:t>20</w:t>
      </w:r>
      <w:r w:rsidR="000616E8">
        <w:rPr>
          <w:rFonts w:eastAsia="Calibri" w:cs="Garamond"/>
          <w:lang w:eastAsia="en-US"/>
        </w:rPr>
        <w:t>. </w:t>
      </w:r>
      <w:r w:rsidR="000616E8" w:rsidRPr="000616E8">
        <w:rPr>
          <w:rFonts w:eastAsia="Calibri" w:cs="Garamond"/>
          <w:lang w:eastAsia="en-US"/>
        </w:rPr>
        <w:t>4</w:t>
      </w:r>
      <w:r w:rsidR="000616E8">
        <w:rPr>
          <w:rFonts w:eastAsia="Calibri" w:cs="Garamond"/>
          <w:lang w:eastAsia="en-US"/>
        </w:rPr>
        <w:t>. </w:t>
      </w:r>
      <w:r w:rsidR="000616E8" w:rsidRPr="000616E8">
        <w:rPr>
          <w:rFonts w:eastAsia="Calibri" w:cs="Garamond"/>
          <w:lang w:eastAsia="en-US"/>
        </w:rPr>
        <w:t>2017</w:t>
      </w:r>
      <w:r w:rsidR="0054597C" w:rsidRPr="000616E8">
        <w:rPr>
          <w:rFonts w:eastAsia="Calibri" w:cs="Garamond"/>
          <w:lang w:eastAsia="en-US"/>
        </w:rPr>
        <w:t xml:space="preserve">, </w:t>
      </w:r>
      <w:r w:rsidR="000616E8" w:rsidRPr="000616E8">
        <w:rPr>
          <w:rFonts w:eastAsia="Calibri" w:cs="Garamond"/>
          <w:lang w:eastAsia="en-US"/>
        </w:rPr>
        <w:t>č.</w:t>
      </w:r>
      <w:r w:rsidR="000616E8">
        <w:rPr>
          <w:rFonts w:eastAsia="Calibri" w:cs="Garamond"/>
          <w:lang w:eastAsia="en-US"/>
        </w:rPr>
        <w:t> </w:t>
      </w:r>
      <w:r w:rsidR="000616E8" w:rsidRPr="000616E8">
        <w:rPr>
          <w:rFonts w:eastAsia="Calibri" w:cs="Garamond"/>
          <w:lang w:eastAsia="en-US"/>
        </w:rPr>
        <w:t>j.</w:t>
      </w:r>
      <w:r w:rsidR="000616E8">
        <w:rPr>
          <w:rFonts w:eastAsia="Calibri" w:cs="Garamond"/>
          <w:lang w:eastAsia="en-US"/>
        </w:rPr>
        <w:t> </w:t>
      </w:r>
      <w:proofErr w:type="spellStart"/>
      <w:r w:rsidR="0054597C" w:rsidRPr="000616E8">
        <w:rPr>
          <w:rFonts w:eastAsia="Calibri" w:cs="Garamond"/>
          <w:lang w:eastAsia="en-US"/>
        </w:rPr>
        <w:t>Ars</w:t>
      </w:r>
      <w:proofErr w:type="spellEnd"/>
      <w:r w:rsidR="0054597C" w:rsidRPr="000616E8">
        <w:rPr>
          <w:rFonts w:eastAsia="Calibri" w:cs="Garamond"/>
          <w:lang w:eastAsia="en-US"/>
        </w:rPr>
        <w:t xml:space="preserve"> 1/2017</w:t>
      </w:r>
      <w:r w:rsidR="000616E8">
        <w:rPr>
          <w:rFonts w:eastAsia="Calibri" w:cs="Garamond"/>
          <w:lang w:eastAsia="en-US"/>
        </w:rPr>
        <w:noBreakHyphen/>
      </w:r>
      <w:r w:rsidR="0054597C" w:rsidRPr="000616E8">
        <w:rPr>
          <w:rFonts w:eastAsia="Calibri" w:cs="Garamond"/>
          <w:lang w:eastAsia="en-US"/>
        </w:rPr>
        <w:t>44,</w:t>
      </w:r>
      <w:r w:rsidR="000616E8">
        <w:rPr>
          <w:rFonts w:eastAsia="Calibri" w:cs="Garamond"/>
          <w:lang w:eastAsia="en-US"/>
        </w:rPr>
        <w:t xml:space="preserve"> č. </w:t>
      </w:r>
      <w:r w:rsidR="0054597C" w:rsidRPr="000616E8">
        <w:rPr>
          <w:rFonts w:eastAsia="Calibri" w:cs="Garamond"/>
          <w:lang w:eastAsia="en-US"/>
        </w:rPr>
        <w:t xml:space="preserve">3587/2017 </w:t>
      </w:r>
      <w:r w:rsidR="000616E8">
        <w:rPr>
          <w:rFonts w:eastAsia="Calibri" w:cs="Garamond"/>
          <w:lang w:eastAsia="en-US"/>
        </w:rPr>
        <w:t>Sb. NSS</w:t>
      </w:r>
      <w:r w:rsidR="0054597C" w:rsidRPr="000616E8">
        <w:rPr>
          <w:rFonts w:eastAsia="Calibri" w:cs="Garamond"/>
          <w:lang w:eastAsia="en-US"/>
        </w:rPr>
        <w:t>).</w:t>
      </w:r>
    </w:p>
    <w:p w14:paraId="17DA630D" w14:textId="77777777" w:rsidR="00CD2103" w:rsidRPr="000616E8" w:rsidRDefault="00CD2103" w:rsidP="00CD2103"/>
    <w:p w14:paraId="17DA630E" w14:textId="0C181069" w:rsidR="00CD2103" w:rsidRPr="000616E8" w:rsidRDefault="00CD2103" w:rsidP="000477ED">
      <w:pPr>
        <w:numPr>
          <w:ilvl w:val="0"/>
          <w:numId w:val="19"/>
        </w:numPr>
        <w:ind w:left="0" w:firstLine="0"/>
      </w:pPr>
      <w:r w:rsidRPr="000616E8">
        <w:rPr>
          <w:rFonts w:eastAsia="Calibri" w:cs="Garamond"/>
          <w:lang w:eastAsia="en-US"/>
        </w:rPr>
        <w:t>Podle </w:t>
      </w:r>
      <w:r w:rsidR="000616E8">
        <w:rPr>
          <w:rFonts w:eastAsia="Calibri" w:cs="Garamond"/>
          <w:lang w:eastAsia="en-US"/>
        </w:rPr>
        <w:t>§ </w:t>
      </w:r>
      <w:r w:rsidRPr="000616E8">
        <w:rPr>
          <w:rFonts w:eastAsia="Calibri" w:cs="Garamond"/>
          <w:lang w:eastAsia="en-US"/>
        </w:rPr>
        <w:t>5 odst. 1 písm. b) zákona č. 85/1996 Sb., o advokacii, ve znění pozdějších předpisů, je předpokladem pro výkon advokacie vysokoškolské vzdělání v oboru právo získané</w:t>
      </w:r>
    </w:p>
    <w:p w14:paraId="17DA630F" w14:textId="77777777" w:rsidR="00CD2103" w:rsidRPr="000616E8" w:rsidRDefault="00CD2103" w:rsidP="00CD2103">
      <w:pPr>
        <w:numPr>
          <w:ilvl w:val="0"/>
          <w:numId w:val="7"/>
        </w:numPr>
        <w:tabs>
          <w:tab w:val="left" w:pos="1134"/>
        </w:tabs>
        <w:ind w:left="1134" w:hanging="283"/>
        <w:rPr>
          <w:rFonts w:eastAsia="Calibri" w:cs="Garamond"/>
          <w:lang w:eastAsia="en-US"/>
        </w:rPr>
      </w:pPr>
      <w:r w:rsidRPr="000616E8">
        <w:rPr>
          <w:rFonts w:eastAsia="Calibri" w:cs="Garamond"/>
          <w:lang w:eastAsia="en-US"/>
        </w:rPr>
        <w:lastRenderedPageBreak/>
        <w:t>v magisterském studijním programu studiem na vysoké škole v České republice nebo</w:t>
      </w:r>
    </w:p>
    <w:p w14:paraId="17DA6310" w14:textId="77777777" w:rsidR="00CD2103" w:rsidRPr="000616E8" w:rsidRDefault="00CD2103" w:rsidP="00CD2103">
      <w:pPr>
        <w:numPr>
          <w:ilvl w:val="0"/>
          <w:numId w:val="7"/>
        </w:numPr>
        <w:tabs>
          <w:tab w:val="left" w:pos="1134"/>
        </w:tabs>
        <w:ind w:left="1134" w:hanging="283"/>
        <w:rPr>
          <w:rFonts w:eastAsiaTheme="minorHAnsi"/>
        </w:rPr>
      </w:pPr>
      <w:r w:rsidRPr="000616E8">
        <w:rPr>
          <w:rFonts w:eastAsia="Calibri" w:cs="Garamond"/>
          <w:lang w:eastAsia="en-US"/>
        </w:rPr>
        <w:t>studiem na vysoké škole v zahraničí, pokud je takové vzdělání v České republice uznáváno za rovnocenné vzdělání uvedenému v bodě 1 na základě mezinárodní smlouvy, kterou je Česká republika vázána, anebo pokud takové vzdělání bylo uznáno podle zvláštního právního předpisu, a současně takové vzdělání odpovídá obsahem a rozsahem obecnému vzdělání, které lze získat v magisterském studijním programu v oboru právo na vysoké škole v České republice.</w:t>
      </w:r>
    </w:p>
    <w:p w14:paraId="17DA6311" w14:textId="77777777" w:rsidR="00CD2103" w:rsidRPr="000616E8" w:rsidRDefault="00CD2103" w:rsidP="00CD2103">
      <w:pPr>
        <w:tabs>
          <w:tab w:val="left" w:pos="709"/>
        </w:tabs>
        <w:rPr>
          <w:rFonts w:eastAsiaTheme="minorHAnsi" w:cstheme="minorBidi"/>
          <w:lang w:eastAsia="en-US"/>
        </w:rPr>
      </w:pPr>
    </w:p>
    <w:p w14:paraId="17DA6312" w14:textId="7E3E0D29" w:rsidR="00CD2103" w:rsidRPr="000616E8" w:rsidRDefault="00CD2103" w:rsidP="000477ED">
      <w:pPr>
        <w:numPr>
          <w:ilvl w:val="0"/>
          <w:numId w:val="19"/>
        </w:numPr>
        <w:ind w:left="0" w:firstLine="0"/>
      </w:pPr>
      <w:r w:rsidRPr="000616E8">
        <w:rPr>
          <w:rFonts w:eastAsia="Calibri" w:cs="Garamond"/>
          <w:lang w:eastAsia="en-US"/>
        </w:rPr>
        <w:t xml:space="preserve">V této souvislosti proto Nejvyšší správní soud stěžovatele výrokem IV </w:t>
      </w:r>
      <w:r w:rsidRPr="000616E8">
        <w:rPr>
          <w:rFonts w:eastAsia="Calibri" w:cs="Garamond-Bold"/>
          <w:bCs/>
          <w:lang w:eastAsia="en-US"/>
        </w:rPr>
        <w:t>vyzval</w:t>
      </w:r>
      <w:r w:rsidRPr="000616E8">
        <w:rPr>
          <w:rFonts w:eastAsia="Calibri" w:cs="Garamond-Bold"/>
          <w:b/>
          <w:bCs/>
          <w:lang w:eastAsia="en-US"/>
        </w:rPr>
        <w:t xml:space="preserve"> </w:t>
      </w:r>
      <w:r w:rsidRPr="000616E8">
        <w:rPr>
          <w:rFonts w:eastAsia="Calibri" w:cs="Garamond"/>
          <w:lang w:eastAsia="en-US"/>
        </w:rPr>
        <w:t>k doložení splnění podmínky podle </w:t>
      </w:r>
      <w:r w:rsidR="000616E8">
        <w:rPr>
          <w:rFonts w:eastAsia="Calibri" w:cs="Garamond"/>
          <w:lang w:eastAsia="en-US"/>
        </w:rPr>
        <w:t>§ </w:t>
      </w:r>
      <w:r w:rsidRPr="000616E8">
        <w:rPr>
          <w:rFonts w:eastAsia="Calibri" w:cs="Garamond"/>
          <w:lang w:eastAsia="en-US"/>
        </w:rPr>
        <w:t xml:space="preserve">105 odst. 2 </w:t>
      </w:r>
      <w:r w:rsidR="000616E8">
        <w:rPr>
          <w:rFonts w:eastAsia="Calibri" w:cs="Garamond"/>
          <w:lang w:eastAsia="en-US"/>
        </w:rPr>
        <w:t>s. ř. s. </w:t>
      </w:r>
      <w:r w:rsidRPr="000616E8">
        <w:rPr>
          <w:rFonts w:eastAsia="Calibri" w:cs="Garamond"/>
          <w:lang w:eastAsia="en-US"/>
        </w:rPr>
        <w:t>pro řízení o kasační stížnosti, a to buď předložením plné moci udělené advokátu, nebo předložením dokladu o vysokoškolském právnickém vzdělání (vysokoškolský diplom o absolvování příslušného studia).</w:t>
      </w:r>
    </w:p>
    <w:p w14:paraId="17DA6313" w14:textId="77777777" w:rsidR="00CD2103" w:rsidRPr="000616E8" w:rsidRDefault="00CD2103" w:rsidP="00CD2103">
      <w:pPr>
        <w:pStyle w:val="Zkladnsslovnm"/>
        <w:numPr>
          <w:ilvl w:val="0"/>
          <w:numId w:val="0"/>
        </w:numPr>
      </w:pPr>
    </w:p>
    <w:p w14:paraId="17DA6314" w14:textId="77777777" w:rsidR="00CD2103" w:rsidRPr="000616E8" w:rsidRDefault="00CD2103" w:rsidP="00CD2103">
      <w:pPr>
        <w:pStyle w:val="Zkladnsslovnm"/>
        <w:numPr>
          <w:ilvl w:val="0"/>
          <w:numId w:val="0"/>
        </w:numPr>
      </w:pPr>
    </w:p>
    <w:p w14:paraId="17DA6315" w14:textId="2AAE756C" w:rsidR="00CD2103" w:rsidRPr="000616E8" w:rsidRDefault="00CD2103" w:rsidP="00CD2103">
      <w:pPr>
        <w:tabs>
          <w:tab w:val="left" w:pos="360"/>
        </w:tabs>
        <w:suppressAutoHyphens/>
      </w:pPr>
      <w:r w:rsidRPr="000616E8">
        <w:rPr>
          <w:b/>
          <w:spacing w:val="60"/>
        </w:rPr>
        <w:t>Poučení:</w:t>
      </w:r>
      <w:r w:rsidRPr="000616E8">
        <w:rPr>
          <w:b/>
        </w:rPr>
        <w:t xml:space="preserve"> </w:t>
      </w:r>
      <w:r w:rsidRPr="000616E8">
        <w:rPr>
          <w:b/>
        </w:rPr>
        <w:tab/>
      </w:r>
      <w:r w:rsidRPr="000616E8">
        <w:t>Proti tomuto usnesení   </w:t>
      </w:r>
      <w:r w:rsidRPr="000616E8">
        <w:rPr>
          <w:b/>
        </w:rPr>
        <w:t xml:space="preserve">n </w:t>
      </w:r>
      <w:r w:rsidR="000616E8" w:rsidRPr="000616E8">
        <w:rPr>
          <w:b/>
        </w:rPr>
        <w:t>e</w:t>
      </w:r>
      <w:r w:rsidR="000616E8">
        <w:rPr>
          <w:b/>
        </w:rPr>
        <w:t> </w:t>
      </w:r>
      <w:r w:rsidRPr="000616E8">
        <w:rPr>
          <w:b/>
        </w:rPr>
        <w:t>j s o u   </w:t>
      </w:r>
      <w:r w:rsidRPr="000616E8">
        <w:t>opravné prostředky přípustné.</w:t>
      </w:r>
    </w:p>
    <w:p w14:paraId="17DA6316" w14:textId="77777777" w:rsidR="00CD2103" w:rsidRPr="000616E8" w:rsidRDefault="00CD2103" w:rsidP="00CD2103">
      <w:pPr>
        <w:tabs>
          <w:tab w:val="left" w:pos="360"/>
        </w:tabs>
        <w:suppressAutoHyphens/>
      </w:pPr>
    </w:p>
    <w:p w14:paraId="17DA6317" w14:textId="77777777" w:rsidR="00CD2103" w:rsidRPr="000616E8" w:rsidRDefault="00CD2103" w:rsidP="00CD2103">
      <w:pPr>
        <w:tabs>
          <w:tab w:val="left" w:pos="360"/>
        </w:tabs>
        <w:suppressAutoHyphens/>
        <w:ind w:left="2124"/>
      </w:pPr>
      <w:r w:rsidRPr="000616E8">
        <w:t xml:space="preserve">Po marném uplynutí výše stanovené patnáctidenní lhůty k zaplacení soudního poplatku za řízení o kasační stížnosti soud řízení </w:t>
      </w:r>
      <w:r w:rsidRPr="000616E8">
        <w:rPr>
          <w:b/>
        </w:rPr>
        <w:t>zastaví</w:t>
      </w:r>
      <w:r w:rsidRPr="000616E8">
        <w:t xml:space="preserve">. K případnému zaplacení poplatku po marném uplynutí lhůty se nepřihlíží. </w:t>
      </w:r>
    </w:p>
    <w:p w14:paraId="17DA6318" w14:textId="77777777" w:rsidR="00CD2103" w:rsidRPr="000616E8" w:rsidRDefault="00CD2103" w:rsidP="00CD2103">
      <w:pPr>
        <w:tabs>
          <w:tab w:val="left" w:pos="360"/>
        </w:tabs>
        <w:suppressAutoHyphens/>
        <w:ind w:left="2124"/>
      </w:pPr>
    </w:p>
    <w:p w14:paraId="17DA6319" w14:textId="37CC8983" w:rsidR="00CD2103" w:rsidRPr="000616E8" w:rsidRDefault="00CD2103" w:rsidP="00CD2103">
      <w:pPr>
        <w:tabs>
          <w:tab w:val="left" w:pos="360"/>
        </w:tabs>
        <w:suppressAutoHyphens/>
        <w:ind w:left="2124"/>
      </w:pPr>
      <w:r w:rsidRPr="000616E8">
        <w:t>Soud však řízení nezastaví, je</w:t>
      </w:r>
      <w:r w:rsidRPr="000616E8">
        <w:noBreakHyphen/>
        <w:t>li tu nebezpečí z prodlení, v jehož důsledku by stěžovateli mohla vzniknout újma, a ve stanovené lhůtě soudu sdělí okolnosti, které toto nebezpečí osvědčují, a doloží, že bez své viny nemohl poplatek dosud zaplatit.</w:t>
      </w:r>
    </w:p>
    <w:p w14:paraId="17DA631C" w14:textId="77777777" w:rsidR="00CD2103" w:rsidRPr="000616E8" w:rsidRDefault="00CD2103" w:rsidP="00206E41">
      <w:pPr>
        <w:tabs>
          <w:tab w:val="left" w:pos="360"/>
        </w:tabs>
        <w:suppressAutoHyphens/>
      </w:pPr>
    </w:p>
    <w:p w14:paraId="17DA631D" w14:textId="6924DECA" w:rsidR="00CD2103" w:rsidRPr="000616E8" w:rsidRDefault="00CD2103" w:rsidP="00CD2103">
      <w:pPr>
        <w:tabs>
          <w:tab w:val="left" w:pos="360"/>
        </w:tabs>
        <w:suppressAutoHyphens/>
        <w:ind w:left="2124"/>
      </w:pPr>
      <w:r w:rsidRPr="000616E8">
        <w:t>Nevyhoví</w:t>
      </w:r>
      <w:r w:rsidRPr="000616E8">
        <w:noBreakHyphen/>
        <w:t xml:space="preserve">li stěžovatel výzvě k předložení plné moci udělené jim advokátovi pro řízení o kasační stížnosti, soud předmětnou kasační stížnost </w:t>
      </w:r>
      <w:r w:rsidRPr="000616E8">
        <w:rPr>
          <w:b/>
        </w:rPr>
        <w:t>odmítne</w:t>
      </w:r>
      <w:r w:rsidRPr="000616E8">
        <w:t xml:space="preserve"> [</w:t>
      </w:r>
      <w:r w:rsidR="000616E8">
        <w:t>§ </w:t>
      </w:r>
      <w:r w:rsidRPr="000616E8">
        <w:t xml:space="preserve">46 odst. 1 písm. a) </w:t>
      </w:r>
      <w:r w:rsidR="000616E8">
        <w:t>s. ř. s. </w:t>
      </w:r>
      <w:r w:rsidRPr="000616E8">
        <w:t xml:space="preserve">za použití </w:t>
      </w:r>
      <w:r w:rsidR="000616E8">
        <w:t>§ </w:t>
      </w:r>
      <w:r w:rsidRPr="000616E8">
        <w:t xml:space="preserve">120 </w:t>
      </w:r>
      <w:r w:rsidR="000616E8">
        <w:t>s. ř. s.</w:t>
      </w:r>
      <w:r w:rsidRPr="000616E8">
        <w:t>].</w:t>
      </w:r>
    </w:p>
    <w:p w14:paraId="17DA631E" w14:textId="77777777" w:rsidR="00CD2103" w:rsidRPr="000616E8" w:rsidRDefault="00CD2103" w:rsidP="00CD2103">
      <w:pPr>
        <w:tabs>
          <w:tab w:val="left" w:pos="360"/>
        </w:tabs>
        <w:suppressAutoHyphens/>
        <w:ind w:left="2124"/>
      </w:pPr>
    </w:p>
    <w:p w14:paraId="17DA631F" w14:textId="77777777" w:rsidR="00CD2103" w:rsidRPr="000616E8" w:rsidRDefault="00CD2103" w:rsidP="00CD2103">
      <w:pPr>
        <w:ind w:left="1701" w:hanging="1701"/>
      </w:pPr>
    </w:p>
    <w:p w14:paraId="17DA6320" w14:textId="10113082" w:rsidR="00CD2103" w:rsidRPr="000616E8" w:rsidRDefault="00CD2103" w:rsidP="00CD2103">
      <w:pPr>
        <w:jc w:val="center"/>
      </w:pPr>
      <w:r w:rsidRPr="000616E8">
        <w:t xml:space="preserve">V Brně </w:t>
      </w:r>
      <w:r w:rsidR="004B0BBC">
        <w:t xml:space="preserve">dne </w:t>
      </w:r>
      <w:r w:rsidR="000616E8">
        <w:t>13. listopadu 2025</w:t>
      </w:r>
    </w:p>
    <w:p w14:paraId="17DA6321" w14:textId="77777777" w:rsidR="00CD2103" w:rsidRPr="000616E8" w:rsidRDefault="00CD2103" w:rsidP="00CD2103">
      <w:pPr>
        <w:tabs>
          <w:tab w:val="center" w:pos="6804"/>
        </w:tabs>
      </w:pPr>
    </w:p>
    <w:p w14:paraId="17DA6322" w14:textId="77777777" w:rsidR="00CD2103" w:rsidRPr="000616E8" w:rsidRDefault="00CD2103" w:rsidP="00CD2103">
      <w:pPr>
        <w:tabs>
          <w:tab w:val="center" w:pos="6804"/>
        </w:tabs>
        <w:jc w:val="right"/>
      </w:pPr>
    </w:p>
    <w:p w14:paraId="17DA6323" w14:textId="28178E43" w:rsidR="00CD2103" w:rsidRPr="000616E8" w:rsidRDefault="00817814" w:rsidP="00CD2103">
      <w:pPr>
        <w:ind w:left="6946"/>
        <w:jc w:val="center"/>
      </w:pPr>
      <w:r w:rsidRPr="000616E8">
        <w:t>Vojtěch Šimíček</w:t>
      </w:r>
      <w:r w:rsidR="002D39FB" w:rsidRPr="000616E8">
        <w:t xml:space="preserve"> </w:t>
      </w:r>
      <w:r w:rsidR="008F523A">
        <w:t>v. r.</w:t>
      </w:r>
    </w:p>
    <w:p w14:paraId="17DA6324" w14:textId="6801BD12" w:rsidR="00CD2103" w:rsidRDefault="00CD2103" w:rsidP="00CD2103">
      <w:pPr>
        <w:ind w:left="6946"/>
        <w:jc w:val="center"/>
      </w:pPr>
      <w:r w:rsidRPr="000616E8">
        <w:t>předseda senátu</w:t>
      </w:r>
    </w:p>
    <w:p w14:paraId="63357B62" w14:textId="5E5D1033" w:rsidR="008F523A" w:rsidRDefault="008F523A" w:rsidP="008F523A">
      <w:pPr>
        <w:jc w:val="left"/>
      </w:pPr>
      <w:r>
        <w:t>Za správnost vyhotovení:</w:t>
      </w:r>
    </w:p>
    <w:p w14:paraId="3402E3B8" w14:textId="5D74AB49" w:rsidR="008F523A" w:rsidRPr="000616E8" w:rsidRDefault="008F523A" w:rsidP="008F523A">
      <w:pPr>
        <w:jc w:val="left"/>
      </w:pPr>
      <w:r>
        <w:t>Šárka Hovorková</w:t>
      </w:r>
    </w:p>
    <w:sectPr w:rsidR="008F523A" w:rsidRPr="000616E8" w:rsidSect="000616E8">
      <w:headerReference w:type="even" r:id="rId12"/>
      <w:headerReference w:type="default" r:id="rId13"/>
      <w:headerReference w:type="first" r:id="rId14"/>
      <w:type w:val="continuous"/>
      <w:pgSz w:w="11906" w:h="16838"/>
      <w:pgMar w:top="1418"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71E9" w14:textId="77777777" w:rsidR="007337D8" w:rsidRDefault="007337D8">
      <w:r>
        <w:separator/>
      </w:r>
    </w:p>
  </w:endnote>
  <w:endnote w:type="continuationSeparator" w:id="0">
    <w:p w14:paraId="5B59FCC1" w14:textId="77777777" w:rsidR="007337D8" w:rsidRDefault="0073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Bold">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A62F" w14:textId="77777777" w:rsidR="007337D8" w:rsidRDefault="007337D8">
      <w:r>
        <w:separator/>
      </w:r>
    </w:p>
  </w:footnote>
  <w:footnote w:type="continuationSeparator" w:id="0">
    <w:p w14:paraId="6FDD1C32" w14:textId="77777777" w:rsidR="007337D8" w:rsidRDefault="0073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FC74" w14:textId="1A472ECB" w:rsidR="00824933" w:rsidRPr="000616E8" w:rsidRDefault="000616E8" w:rsidP="000616E8">
    <w:pPr>
      <w:pStyle w:val="Zhlav"/>
      <w:jc w:val="right"/>
      <w:rPr>
        <w:rFonts w:ascii="Garamond" w:hAnsi="Garamond"/>
        <w:sz w:val="24"/>
      </w:rPr>
    </w:pPr>
    <w:proofErr w:type="spellStart"/>
    <w:r>
      <w:rPr>
        <w:rFonts w:ascii="Garamond" w:hAnsi="Garamond"/>
        <w:sz w:val="24"/>
      </w:rPr>
      <w:t>Ars</w:t>
    </w:r>
    <w:proofErr w:type="spellEnd"/>
    <w:r>
      <w:rPr>
        <w:rFonts w:ascii="Garamond" w:hAnsi="Garamond"/>
        <w:sz w:val="24"/>
      </w:rPr>
      <w:t xml:space="preserve"> 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DBE9" w14:textId="1F391F32" w:rsidR="000616E8" w:rsidRDefault="000616E8" w:rsidP="000616E8">
    <w:pPr>
      <w:pStyle w:val="Zhlav"/>
      <w:rPr>
        <w:rFonts w:ascii="Garamond" w:hAnsi="Garamond"/>
        <w:sz w:val="24"/>
        <w:szCs w:val="24"/>
      </w:rPr>
    </w:pPr>
    <w:r>
      <w:rPr>
        <w:rFonts w:ascii="Garamond" w:hAnsi="Garamond"/>
        <w:sz w:val="24"/>
        <w:szCs w:val="24"/>
      </w:rPr>
      <w:t>pokračování</w:t>
    </w:r>
    <w:r>
      <w:rPr>
        <w:rFonts w:ascii="Garamond" w:hAnsi="Garamond"/>
        <w:sz w:val="24"/>
        <w:szCs w:val="24"/>
      </w:rPr>
      <w:tab/>
    </w:r>
    <w:r>
      <w:rPr>
        <w:rFonts w:ascii="Garamond" w:hAnsi="Garamond"/>
        <w:sz w:val="24"/>
        <w:szCs w:val="24"/>
      </w:rPr>
      <w:tab/>
    </w:r>
    <w:proofErr w:type="spellStart"/>
    <w:r>
      <w:rPr>
        <w:rFonts w:ascii="Garamond" w:hAnsi="Garamond"/>
        <w:sz w:val="24"/>
        <w:szCs w:val="24"/>
      </w:rPr>
      <w:t>Ars</w:t>
    </w:r>
    <w:proofErr w:type="spellEnd"/>
    <w:r>
      <w:rPr>
        <w:rFonts w:ascii="Garamond" w:hAnsi="Garamond"/>
        <w:sz w:val="24"/>
        <w:szCs w:val="24"/>
      </w:rPr>
      <w:t xml:space="preserve"> 7/2025 - </w:t>
    </w:r>
    <w:r>
      <w:rPr>
        <w:rFonts w:ascii="Garamond" w:hAnsi="Garamond"/>
        <w:sz w:val="24"/>
        <w:szCs w:val="24"/>
      </w:rPr>
      <w:fldChar w:fldCharType="begin"/>
    </w:r>
    <w:r>
      <w:rPr>
        <w:rFonts w:ascii="Garamond" w:hAnsi="Garamond"/>
        <w:sz w:val="24"/>
        <w:szCs w:val="24"/>
      </w:rPr>
      <w:instrText>= 38 + INT ((</w:instrText>
    </w:r>
    <w:r>
      <w:rPr>
        <w:rFonts w:ascii="Garamond" w:hAnsi="Garamond"/>
        <w:sz w:val="24"/>
        <w:szCs w:val="24"/>
      </w:rPr>
      <w:fldChar w:fldCharType="begin"/>
    </w:r>
    <w:r>
      <w:rPr>
        <w:rFonts w:ascii="Garamond" w:hAnsi="Garamond"/>
        <w:sz w:val="24"/>
        <w:szCs w:val="24"/>
      </w:rPr>
      <w:instrText xml:space="preserve"> PAGE </w:instrText>
    </w:r>
    <w:r>
      <w:rPr>
        <w:rFonts w:ascii="Garamond" w:hAnsi="Garamond"/>
        <w:sz w:val="24"/>
        <w:szCs w:val="24"/>
      </w:rPr>
      <w:fldChar w:fldCharType="separate"/>
    </w:r>
    <w:r w:rsidR="008F523A">
      <w:rPr>
        <w:rFonts w:ascii="Garamond" w:hAnsi="Garamond"/>
        <w:noProof/>
        <w:sz w:val="24"/>
        <w:szCs w:val="24"/>
      </w:rPr>
      <w:instrText>5</w:instrText>
    </w:r>
    <w:r>
      <w:rPr>
        <w:rFonts w:ascii="Garamond" w:hAnsi="Garamond"/>
        <w:sz w:val="24"/>
        <w:szCs w:val="24"/>
      </w:rPr>
      <w:fldChar w:fldCharType="end"/>
    </w:r>
    <w:r>
      <w:rPr>
        <w:rFonts w:ascii="Garamond" w:hAnsi="Garamond"/>
        <w:sz w:val="24"/>
        <w:szCs w:val="24"/>
      </w:rPr>
      <w:instrText xml:space="preserve">+1)/2)-1 </w:instrText>
    </w:r>
    <w:r>
      <w:rPr>
        <w:rFonts w:ascii="Garamond" w:hAnsi="Garamond"/>
        <w:sz w:val="24"/>
        <w:szCs w:val="24"/>
      </w:rPr>
      <w:fldChar w:fldCharType="separate"/>
    </w:r>
    <w:r w:rsidR="008F523A">
      <w:rPr>
        <w:rFonts w:ascii="Garamond" w:hAnsi="Garamond"/>
        <w:noProof/>
        <w:sz w:val="24"/>
        <w:szCs w:val="24"/>
      </w:rPr>
      <w:t>40</w:t>
    </w:r>
    <w:r>
      <w:rPr>
        <w:rFonts w:ascii="Garamond" w:hAnsi="Garamond"/>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91DF" w14:textId="5E3E2E97" w:rsidR="00824933" w:rsidRPr="000616E8" w:rsidRDefault="000616E8" w:rsidP="000616E8">
    <w:pPr>
      <w:pStyle w:val="Zhlav"/>
      <w:rPr>
        <w:rFonts w:ascii="Garamond" w:hAnsi="Garamond"/>
        <w:sz w:val="24"/>
      </w:rPr>
    </w:pPr>
    <w:r>
      <w:rPr>
        <w:rFonts w:ascii="Garamond" w:hAnsi="Garamond"/>
        <w:sz w:val="24"/>
      </w:rPr>
      <w:tab/>
    </w:r>
    <w:r>
      <w:rPr>
        <w:rFonts w:ascii="Garamond" w:hAnsi="Garamond"/>
        <w:sz w:val="24"/>
      </w:rPr>
      <w:tab/>
    </w:r>
    <w:proofErr w:type="spellStart"/>
    <w:r>
      <w:rPr>
        <w:rFonts w:ascii="Garamond" w:hAnsi="Garamond"/>
        <w:sz w:val="24"/>
      </w:rPr>
      <w:t>Ars</w:t>
    </w:r>
    <w:proofErr w:type="spellEnd"/>
    <w:r>
      <w:rPr>
        <w:rFonts w:ascii="Garamond" w:hAnsi="Garamond"/>
        <w:sz w:val="24"/>
      </w:rPr>
      <w:t xml:space="preserve"> 7/</w:t>
    </w:r>
    <w:proofErr w:type="gramStart"/>
    <w:r>
      <w:rPr>
        <w:rFonts w:ascii="Garamond" w:hAnsi="Garamond"/>
        <w:sz w:val="24"/>
      </w:rPr>
      <w:t>2025 - 38</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B00"/>
    <w:multiLevelType w:val="hybridMultilevel"/>
    <w:tmpl w:val="2CAE858E"/>
    <w:lvl w:ilvl="0" w:tplc="0405000F">
      <w:start w:val="1"/>
      <w:numFmt w:val="decimal"/>
      <w:lvlText w:val="%1."/>
      <w:lvlJc w:val="left"/>
      <w:pPr>
        <w:ind w:left="720" w:hanging="360"/>
      </w:pPr>
    </w:lvl>
    <w:lvl w:ilvl="1" w:tplc="A658E720">
      <w:start w:val="1"/>
      <w:numFmt w:val="decimal"/>
      <w:pStyle w:val="Zkladnsslovnm"/>
      <w:lvlText w:val="[%2]"/>
      <w:lvlJc w:val="left"/>
      <w:pPr>
        <w:ind w:left="1440" w:hanging="360"/>
      </w:pPr>
      <w:rPr>
        <w:rFonts w:hint="default"/>
        <w:i w:val="0"/>
        <w:color w:val="auto"/>
      </w:rPr>
    </w:lvl>
    <w:lvl w:ilvl="2" w:tplc="CF96542C">
      <w:start w:val="5"/>
      <w:numFmt w:val="bullet"/>
      <w:lvlText w:val=""/>
      <w:lvlJc w:val="left"/>
      <w:pPr>
        <w:ind w:left="2985" w:hanging="1005"/>
      </w:pPr>
      <w:rPr>
        <w:rFonts w:ascii="Symbol" w:eastAsia="Times New Roman" w:hAnsi="Symbol" w:cs="Times New Roman" w:hint="default"/>
      </w:rPr>
    </w:lvl>
    <w:lvl w:ilvl="3" w:tplc="305E0D42">
      <w:numFmt w:val="bullet"/>
      <w:lvlText w:val="-"/>
      <w:lvlJc w:val="left"/>
      <w:pPr>
        <w:ind w:left="2880" w:hanging="360"/>
      </w:pPr>
      <w:rPr>
        <w:rFonts w:ascii="Garamond" w:eastAsia="Times New Roman" w:hAnsi="Garamond"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E518EF"/>
    <w:multiLevelType w:val="hybridMultilevel"/>
    <w:tmpl w:val="D9948D24"/>
    <w:lvl w:ilvl="0" w:tplc="0405000F">
      <w:start w:val="1"/>
      <w:numFmt w:val="decimal"/>
      <w:lvlText w:val="%1."/>
      <w:lvlJc w:val="left"/>
      <w:pPr>
        <w:ind w:left="1211"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C9E31D6"/>
    <w:multiLevelType w:val="hybridMultilevel"/>
    <w:tmpl w:val="0E54EF40"/>
    <w:lvl w:ilvl="0" w:tplc="12E07FAA">
      <w:start w:val="1"/>
      <w:numFmt w:val="decimal"/>
      <w:lvlText w:val="%1."/>
      <w:lvlJc w:val="left"/>
      <w:pPr>
        <w:tabs>
          <w:tab w:val="num" w:pos="720"/>
        </w:tabs>
        <w:ind w:left="720" w:hanging="360"/>
      </w:pPr>
      <w:rPr>
        <w:color w:val="auto"/>
      </w:rPr>
    </w:lvl>
    <w:lvl w:ilvl="1" w:tplc="FAEAA82C">
      <w:start w:val="1"/>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BA300CD"/>
    <w:multiLevelType w:val="hybridMultilevel"/>
    <w:tmpl w:val="6330AD5C"/>
    <w:lvl w:ilvl="0" w:tplc="29CE442A">
      <w:start w:val="1"/>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7F4C6D"/>
    <w:multiLevelType w:val="hybridMultilevel"/>
    <w:tmpl w:val="74321F82"/>
    <w:lvl w:ilvl="0" w:tplc="6F660FE2">
      <w:start w:val="7"/>
      <w:numFmt w:val="bullet"/>
      <w:lvlText w:val="-"/>
      <w:lvlJc w:val="left"/>
      <w:pPr>
        <w:ind w:left="360" w:hanging="360"/>
      </w:pPr>
      <w:rPr>
        <w:rFonts w:ascii="Garamond" w:eastAsia="Times New Roman" w:hAnsi="Garamond"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D805FC4"/>
    <w:multiLevelType w:val="hybridMultilevel"/>
    <w:tmpl w:val="4F4A593C"/>
    <w:lvl w:ilvl="0" w:tplc="CAA01836">
      <w:start w:val="1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3751C1"/>
    <w:multiLevelType w:val="hybridMultilevel"/>
    <w:tmpl w:val="4EC68C64"/>
    <w:lvl w:ilvl="0" w:tplc="F998C67E">
      <w:start w:val="6"/>
      <w:numFmt w:val="bullet"/>
      <w:lvlText w:val="-"/>
      <w:lvlJc w:val="left"/>
      <w:pPr>
        <w:ind w:left="1069" w:hanging="360"/>
      </w:pPr>
      <w:rPr>
        <w:rFonts w:ascii="Garamond" w:eastAsia="Times New Roman" w:hAnsi="Garamond"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20DE164B"/>
    <w:multiLevelType w:val="hybridMultilevel"/>
    <w:tmpl w:val="EAE28D78"/>
    <w:lvl w:ilvl="0" w:tplc="0405000F">
      <w:start w:val="1"/>
      <w:numFmt w:val="decimal"/>
      <w:lvlText w:val="%1."/>
      <w:lvlJc w:val="left"/>
      <w:pPr>
        <w:ind w:left="720" w:hanging="360"/>
      </w:pPr>
      <w:rPr>
        <w:rFonts w:hint="default"/>
      </w:rPr>
    </w:lvl>
    <w:lvl w:ilvl="1" w:tplc="FAEAA82C">
      <w:start w:val="1"/>
      <w:numFmt w:val="bullet"/>
      <w:lvlText w:val="-"/>
      <w:lvlJc w:val="left"/>
      <w:pPr>
        <w:ind w:left="1440" w:hanging="360"/>
      </w:pPr>
      <w:rPr>
        <w:rFonts w:ascii="Times New Roman" w:eastAsia="Times New Roman" w:hAnsi="Times New Roman" w:cs="Times New Roman"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252F5"/>
    <w:multiLevelType w:val="singleLevel"/>
    <w:tmpl w:val="2A30FF74"/>
    <w:lvl w:ilvl="0">
      <w:start w:val="1"/>
      <w:numFmt w:val="upperRoman"/>
      <w:pStyle w:val="mmvrok"/>
      <w:lvlText w:val="%1."/>
      <w:lvlJc w:val="left"/>
      <w:pPr>
        <w:tabs>
          <w:tab w:val="num" w:pos="720"/>
        </w:tabs>
        <w:ind w:left="720" w:hanging="720"/>
      </w:pPr>
    </w:lvl>
  </w:abstractNum>
  <w:abstractNum w:abstractNumId="9" w15:restartNumberingAfterBreak="0">
    <w:nsid w:val="26CA5D95"/>
    <w:multiLevelType w:val="hybridMultilevel"/>
    <w:tmpl w:val="980CA942"/>
    <w:lvl w:ilvl="0" w:tplc="6E4AAD60">
      <w:numFmt w:val="bullet"/>
      <w:lvlText w:val="-"/>
      <w:lvlJc w:val="left"/>
      <w:pPr>
        <w:ind w:left="1004" w:hanging="360"/>
      </w:pPr>
      <w:rPr>
        <w:rFonts w:ascii="Calibri" w:eastAsia="Calibri" w:hAnsi="Calibri" w:cs="Calibri" w:hint="default"/>
      </w:rPr>
    </w:lvl>
    <w:lvl w:ilvl="1" w:tplc="2D603F74">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D071D0A"/>
    <w:multiLevelType w:val="hybridMultilevel"/>
    <w:tmpl w:val="0E54EF40"/>
    <w:lvl w:ilvl="0" w:tplc="12E07FAA">
      <w:start w:val="1"/>
      <w:numFmt w:val="decimal"/>
      <w:lvlText w:val="%1."/>
      <w:lvlJc w:val="left"/>
      <w:pPr>
        <w:tabs>
          <w:tab w:val="num" w:pos="720"/>
        </w:tabs>
        <w:ind w:left="720" w:hanging="360"/>
      </w:pPr>
      <w:rPr>
        <w:color w:val="auto"/>
      </w:rPr>
    </w:lvl>
    <w:lvl w:ilvl="1" w:tplc="FAEAA82C">
      <w:start w:val="1"/>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AA265CD"/>
    <w:multiLevelType w:val="hybridMultilevel"/>
    <w:tmpl w:val="6330AD5C"/>
    <w:lvl w:ilvl="0" w:tplc="29CE442A">
      <w:start w:val="1"/>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EB3E23"/>
    <w:multiLevelType w:val="hybridMultilevel"/>
    <w:tmpl w:val="047A0C30"/>
    <w:lvl w:ilvl="0" w:tplc="5EB6E3AA">
      <w:start w:val="13"/>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DF4341"/>
    <w:multiLevelType w:val="hybridMultilevel"/>
    <w:tmpl w:val="D2E67FF4"/>
    <w:lvl w:ilvl="0" w:tplc="6E4AAD60">
      <w:numFmt w:val="bullet"/>
      <w:lvlText w:val="-"/>
      <w:lvlJc w:val="left"/>
      <w:pPr>
        <w:ind w:left="1004" w:hanging="360"/>
      </w:pPr>
      <w:rPr>
        <w:rFonts w:ascii="Calibri" w:eastAsia="Calibri" w:hAnsi="Calibri" w:cs="Calibri"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7A8E727A"/>
    <w:multiLevelType w:val="hybridMultilevel"/>
    <w:tmpl w:val="F0FA5EAC"/>
    <w:lvl w:ilvl="0" w:tplc="CAC47912">
      <w:start w:val="14"/>
      <w:numFmt w:val="decimal"/>
      <w:lvlText w:val="[%1]"/>
      <w:lvlJc w:val="left"/>
      <w:pPr>
        <w:ind w:left="78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108232790">
    <w:abstractNumId w:val="9"/>
  </w:num>
  <w:num w:numId="2" w16cid:durableId="1191383011">
    <w:abstractNumId w:val="13"/>
  </w:num>
  <w:num w:numId="3" w16cid:durableId="1672559291">
    <w:abstractNumId w:val="0"/>
  </w:num>
  <w:num w:numId="4" w16cid:durableId="148524658">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0026960">
    <w:abstractNumId w:val="11"/>
  </w:num>
  <w:num w:numId="6" w16cid:durableId="1168403973">
    <w:abstractNumId w:val="12"/>
  </w:num>
  <w:num w:numId="7" w16cid:durableId="8698789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35593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365937">
    <w:abstractNumId w:val="10"/>
  </w:num>
  <w:num w:numId="10" w16cid:durableId="328560853">
    <w:abstractNumId w:val="3"/>
  </w:num>
  <w:num w:numId="11" w16cid:durableId="2113889666">
    <w:abstractNumId w:val="8"/>
  </w:num>
  <w:num w:numId="12" w16cid:durableId="45616775">
    <w:abstractNumId w:val="2"/>
  </w:num>
  <w:num w:numId="13" w16cid:durableId="547647415">
    <w:abstractNumId w:val="1"/>
  </w:num>
  <w:num w:numId="14" w16cid:durableId="1092167673">
    <w:abstractNumId w:val="7"/>
  </w:num>
  <w:num w:numId="15" w16cid:durableId="356083236">
    <w:abstractNumId w:val="6"/>
  </w:num>
  <w:num w:numId="16" w16cid:durableId="14190555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382072">
    <w:abstractNumId w:val="5"/>
  </w:num>
  <w:num w:numId="18" w16cid:durableId="962032549">
    <w:abstractNumId w:val="4"/>
  </w:num>
  <w:num w:numId="19" w16cid:durableId="459419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48"/>
    <w:rsid w:val="00007281"/>
    <w:rsid w:val="00014385"/>
    <w:rsid w:val="0002428C"/>
    <w:rsid w:val="00034FCE"/>
    <w:rsid w:val="0003660F"/>
    <w:rsid w:val="000477ED"/>
    <w:rsid w:val="00053E22"/>
    <w:rsid w:val="000556F8"/>
    <w:rsid w:val="000616E8"/>
    <w:rsid w:val="000720A4"/>
    <w:rsid w:val="00074607"/>
    <w:rsid w:val="00080D77"/>
    <w:rsid w:val="0008763B"/>
    <w:rsid w:val="00087A14"/>
    <w:rsid w:val="0009288C"/>
    <w:rsid w:val="00094DC5"/>
    <w:rsid w:val="000A498C"/>
    <w:rsid w:val="000A4D70"/>
    <w:rsid w:val="000B55E6"/>
    <w:rsid w:val="000C2F97"/>
    <w:rsid w:val="000C3E27"/>
    <w:rsid w:val="000C7E48"/>
    <w:rsid w:val="000D15FB"/>
    <w:rsid w:val="000D3833"/>
    <w:rsid w:val="000D437E"/>
    <w:rsid w:val="000E3D14"/>
    <w:rsid w:val="000E5ECD"/>
    <w:rsid w:val="000F54B8"/>
    <w:rsid w:val="00110C02"/>
    <w:rsid w:val="001121F6"/>
    <w:rsid w:val="00112676"/>
    <w:rsid w:val="00114414"/>
    <w:rsid w:val="001209DB"/>
    <w:rsid w:val="0012571E"/>
    <w:rsid w:val="0013009A"/>
    <w:rsid w:val="00151B74"/>
    <w:rsid w:val="0015432D"/>
    <w:rsid w:val="0016662B"/>
    <w:rsid w:val="00166C6F"/>
    <w:rsid w:val="00167270"/>
    <w:rsid w:val="00171184"/>
    <w:rsid w:val="00171C80"/>
    <w:rsid w:val="001747D3"/>
    <w:rsid w:val="001848FA"/>
    <w:rsid w:val="001927F3"/>
    <w:rsid w:val="001962CC"/>
    <w:rsid w:val="001A086D"/>
    <w:rsid w:val="001C0329"/>
    <w:rsid w:val="001C3C24"/>
    <w:rsid w:val="001D1867"/>
    <w:rsid w:val="001D3EA8"/>
    <w:rsid w:val="001D52CD"/>
    <w:rsid w:val="001D58C5"/>
    <w:rsid w:val="001D65F1"/>
    <w:rsid w:val="001D781A"/>
    <w:rsid w:val="001E0985"/>
    <w:rsid w:val="00206E41"/>
    <w:rsid w:val="00220459"/>
    <w:rsid w:val="00222B21"/>
    <w:rsid w:val="00276F18"/>
    <w:rsid w:val="00280386"/>
    <w:rsid w:val="00281071"/>
    <w:rsid w:val="00287294"/>
    <w:rsid w:val="00293D97"/>
    <w:rsid w:val="0029628B"/>
    <w:rsid w:val="002979F0"/>
    <w:rsid w:val="002A2A00"/>
    <w:rsid w:val="002A37D4"/>
    <w:rsid w:val="002A46A2"/>
    <w:rsid w:val="002B276F"/>
    <w:rsid w:val="002B6AE6"/>
    <w:rsid w:val="002C1FC6"/>
    <w:rsid w:val="002C334E"/>
    <w:rsid w:val="002C582F"/>
    <w:rsid w:val="002D39FB"/>
    <w:rsid w:val="002D3E4D"/>
    <w:rsid w:val="002D44E3"/>
    <w:rsid w:val="002E045D"/>
    <w:rsid w:val="002E4C2A"/>
    <w:rsid w:val="002E60D4"/>
    <w:rsid w:val="002F4CD2"/>
    <w:rsid w:val="002F7383"/>
    <w:rsid w:val="00330350"/>
    <w:rsid w:val="00331DAB"/>
    <w:rsid w:val="00345D81"/>
    <w:rsid w:val="00354097"/>
    <w:rsid w:val="003601B0"/>
    <w:rsid w:val="0037106B"/>
    <w:rsid w:val="00373AE7"/>
    <w:rsid w:val="003752CD"/>
    <w:rsid w:val="003774A9"/>
    <w:rsid w:val="003823AE"/>
    <w:rsid w:val="00395402"/>
    <w:rsid w:val="00397677"/>
    <w:rsid w:val="003A11A0"/>
    <w:rsid w:val="003B7CE6"/>
    <w:rsid w:val="003C131A"/>
    <w:rsid w:val="003C38D9"/>
    <w:rsid w:val="003C64BF"/>
    <w:rsid w:val="003C6614"/>
    <w:rsid w:val="003D0A21"/>
    <w:rsid w:val="003D7F5C"/>
    <w:rsid w:val="003E4683"/>
    <w:rsid w:val="003F25A3"/>
    <w:rsid w:val="003F2761"/>
    <w:rsid w:val="00405ECC"/>
    <w:rsid w:val="00410401"/>
    <w:rsid w:val="00413C8F"/>
    <w:rsid w:val="004207AB"/>
    <w:rsid w:val="00422822"/>
    <w:rsid w:val="0043064E"/>
    <w:rsid w:val="00435F13"/>
    <w:rsid w:val="004451E7"/>
    <w:rsid w:val="00445808"/>
    <w:rsid w:val="004514BC"/>
    <w:rsid w:val="00465C2F"/>
    <w:rsid w:val="004675A3"/>
    <w:rsid w:val="004741EE"/>
    <w:rsid w:val="0047451B"/>
    <w:rsid w:val="0048584A"/>
    <w:rsid w:val="00486A83"/>
    <w:rsid w:val="004A6656"/>
    <w:rsid w:val="004B0BBC"/>
    <w:rsid w:val="004B0EF7"/>
    <w:rsid w:val="004C374E"/>
    <w:rsid w:val="004D0087"/>
    <w:rsid w:val="004E1440"/>
    <w:rsid w:val="004F330A"/>
    <w:rsid w:val="004F3BF8"/>
    <w:rsid w:val="004F72B5"/>
    <w:rsid w:val="0051029C"/>
    <w:rsid w:val="0051187D"/>
    <w:rsid w:val="00517601"/>
    <w:rsid w:val="00526777"/>
    <w:rsid w:val="00531523"/>
    <w:rsid w:val="00531A16"/>
    <w:rsid w:val="005356DA"/>
    <w:rsid w:val="0054388A"/>
    <w:rsid w:val="00543C20"/>
    <w:rsid w:val="0054597C"/>
    <w:rsid w:val="005545BA"/>
    <w:rsid w:val="00564D5B"/>
    <w:rsid w:val="0056595A"/>
    <w:rsid w:val="005662E1"/>
    <w:rsid w:val="00570563"/>
    <w:rsid w:val="00572DDD"/>
    <w:rsid w:val="00573B60"/>
    <w:rsid w:val="0057726A"/>
    <w:rsid w:val="00591BCE"/>
    <w:rsid w:val="00595534"/>
    <w:rsid w:val="005B022D"/>
    <w:rsid w:val="005B5AC9"/>
    <w:rsid w:val="005C57D9"/>
    <w:rsid w:val="005D2894"/>
    <w:rsid w:val="005D68BB"/>
    <w:rsid w:val="005E0FC1"/>
    <w:rsid w:val="005E4AA9"/>
    <w:rsid w:val="005E4BF9"/>
    <w:rsid w:val="005E6830"/>
    <w:rsid w:val="005E7106"/>
    <w:rsid w:val="005F22C8"/>
    <w:rsid w:val="005F4FC1"/>
    <w:rsid w:val="005F5864"/>
    <w:rsid w:val="005F69BA"/>
    <w:rsid w:val="006052ED"/>
    <w:rsid w:val="0061230D"/>
    <w:rsid w:val="006125E0"/>
    <w:rsid w:val="006303F7"/>
    <w:rsid w:val="00633FCA"/>
    <w:rsid w:val="00637304"/>
    <w:rsid w:val="00640023"/>
    <w:rsid w:val="00645A3A"/>
    <w:rsid w:val="00645B11"/>
    <w:rsid w:val="0065000A"/>
    <w:rsid w:val="0065085B"/>
    <w:rsid w:val="00652488"/>
    <w:rsid w:val="0065555C"/>
    <w:rsid w:val="00660062"/>
    <w:rsid w:val="00662362"/>
    <w:rsid w:val="00665CFD"/>
    <w:rsid w:val="00665ECC"/>
    <w:rsid w:val="00674C5F"/>
    <w:rsid w:val="00674F8C"/>
    <w:rsid w:val="006864CE"/>
    <w:rsid w:val="0068671E"/>
    <w:rsid w:val="00687D1A"/>
    <w:rsid w:val="00691C69"/>
    <w:rsid w:val="00695C00"/>
    <w:rsid w:val="00696F6F"/>
    <w:rsid w:val="006A6839"/>
    <w:rsid w:val="006B158F"/>
    <w:rsid w:val="006B4ABC"/>
    <w:rsid w:val="006B5E05"/>
    <w:rsid w:val="006C44AC"/>
    <w:rsid w:val="006D0D41"/>
    <w:rsid w:val="006E04EE"/>
    <w:rsid w:val="006E0EC4"/>
    <w:rsid w:val="006F2CFE"/>
    <w:rsid w:val="006F3286"/>
    <w:rsid w:val="006F447F"/>
    <w:rsid w:val="006F50C1"/>
    <w:rsid w:val="006F7339"/>
    <w:rsid w:val="00710F7B"/>
    <w:rsid w:val="00715783"/>
    <w:rsid w:val="00715789"/>
    <w:rsid w:val="00716D7D"/>
    <w:rsid w:val="0072140B"/>
    <w:rsid w:val="00725062"/>
    <w:rsid w:val="007326B5"/>
    <w:rsid w:val="007337D8"/>
    <w:rsid w:val="007422C9"/>
    <w:rsid w:val="00743B27"/>
    <w:rsid w:val="007441AA"/>
    <w:rsid w:val="0074763B"/>
    <w:rsid w:val="00755F01"/>
    <w:rsid w:val="007617B0"/>
    <w:rsid w:val="00763FB6"/>
    <w:rsid w:val="007669CC"/>
    <w:rsid w:val="0077787F"/>
    <w:rsid w:val="00777E55"/>
    <w:rsid w:val="00781E79"/>
    <w:rsid w:val="007875E9"/>
    <w:rsid w:val="00794038"/>
    <w:rsid w:val="007A076C"/>
    <w:rsid w:val="007A2872"/>
    <w:rsid w:val="007B3A31"/>
    <w:rsid w:val="007B4E14"/>
    <w:rsid w:val="007C2B75"/>
    <w:rsid w:val="007C7B78"/>
    <w:rsid w:val="007D41B5"/>
    <w:rsid w:val="007E5423"/>
    <w:rsid w:val="007F5267"/>
    <w:rsid w:val="007F62FE"/>
    <w:rsid w:val="00807675"/>
    <w:rsid w:val="0081412E"/>
    <w:rsid w:val="00817814"/>
    <w:rsid w:val="00824933"/>
    <w:rsid w:val="00824FB2"/>
    <w:rsid w:val="00840288"/>
    <w:rsid w:val="00842CE7"/>
    <w:rsid w:val="008443B2"/>
    <w:rsid w:val="00845A12"/>
    <w:rsid w:val="0086288C"/>
    <w:rsid w:val="008675E0"/>
    <w:rsid w:val="008675E4"/>
    <w:rsid w:val="00870881"/>
    <w:rsid w:val="00873E69"/>
    <w:rsid w:val="0087405A"/>
    <w:rsid w:val="0088140C"/>
    <w:rsid w:val="00884F2D"/>
    <w:rsid w:val="00886EA9"/>
    <w:rsid w:val="00893B41"/>
    <w:rsid w:val="00895807"/>
    <w:rsid w:val="00896CCE"/>
    <w:rsid w:val="008A1894"/>
    <w:rsid w:val="008B4727"/>
    <w:rsid w:val="008B5B7F"/>
    <w:rsid w:val="008B6348"/>
    <w:rsid w:val="008C29A2"/>
    <w:rsid w:val="008C2E9E"/>
    <w:rsid w:val="008D190D"/>
    <w:rsid w:val="008E1A23"/>
    <w:rsid w:val="008F08AD"/>
    <w:rsid w:val="008F1C29"/>
    <w:rsid w:val="008F523A"/>
    <w:rsid w:val="009021A7"/>
    <w:rsid w:val="009200D9"/>
    <w:rsid w:val="009227F8"/>
    <w:rsid w:val="00931E53"/>
    <w:rsid w:val="00934FC5"/>
    <w:rsid w:val="009419CA"/>
    <w:rsid w:val="00941B67"/>
    <w:rsid w:val="009421D6"/>
    <w:rsid w:val="00944444"/>
    <w:rsid w:val="00950839"/>
    <w:rsid w:val="00952AE3"/>
    <w:rsid w:val="00960471"/>
    <w:rsid w:val="00970DA1"/>
    <w:rsid w:val="0097161E"/>
    <w:rsid w:val="00971865"/>
    <w:rsid w:val="00971A06"/>
    <w:rsid w:val="00975EAA"/>
    <w:rsid w:val="00985163"/>
    <w:rsid w:val="00993123"/>
    <w:rsid w:val="009A5FCA"/>
    <w:rsid w:val="009B07CA"/>
    <w:rsid w:val="009B0831"/>
    <w:rsid w:val="009B5ACE"/>
    <w:rsid w:val="009D0C04"/>
    <w:rsid w:val="009D56D2"/>
    <w:rsid w:val="009E641E"/>
    <w:rsid w:val="009F09B1"/>
    <w:rsid w:val="009F578A"/>
    <w:rsid w:val="009F6C22"/>
    <w:rsid w:val="00A022AA"/>
    <w:rsid w:val="00A03621"/>
    <w:rsid w:val="00A04829"/>
    <w:rsid w:val="00A06274"/>
    <w:rsid w:val="00A066A3"/>
    <w:rsid w:val="00A15DEF"/>
    <w:rsid w:val="00A165B5"/>
    <w:rsid w:val="00A17B31"/>
    <w:rsid w:val="00A21B02"/>
    <w:rsid w:val="00A266BC"/>
    <w:rsid w:val="00A27ADC"/>
    <w:rsid w:val="00A3544C"/>
    <w:rsid w:val="00A412AA"/>
    <w:rsid w:val="00A44521"/>
    <w:rsid w:val="00A50DB3"/>
    <w:rsid w:val="00A54DB8"/>
    <w:rsid w:val="00A7129F"/>
    <w:rsid w:val="00A71FEA"/>
    <w:rsid w:val="00A740F7"/>
    <w:rsid w:val="00A76508"/>
    <w:rsid w:val="00A802A4"/>
    <w:rsid w:val="00A8229D"/>
    <w:rsid w:val="00A86798"/>
    <w:rsid w:val="00A87F65"/>
    <w:rsid w:val="00A92C0A"/>
    <w:rsid w:val="00A938F7"/>
    <w:rsid w:val="00A97EF3"/>
    <w:rsid w:val="00AA62A9"/>
    <w:rsid w:val="00AB10FD"/>
    <w:rsid w:val="00AB2914"/>
    <w:rsid w:val="00AB47EA"/>
    <w:rsid w:val="00AB63C7"/>
    <w:rsid w:val="00AC1BE8"/>
    <w:rsid w:val="00B0674A"/>
    <w:rsid w:val="00B06E58"/>
    <w:rsid w:val="00B07549"/>
    <w:rsid w:val="00B14F60"/>
    <w:rsid w:val="00B17B59"/>
    <w:rsid w:val="00B418AD"/>
    <w:rsid w:val="00B43D12"/>
    <w:rsid w:val="00B45FDB"/>
    <w:rsid w:val="00B47B2C"/>
    <w:rsid w:val="00B52D7A"/>
    <w:rsid w:val="00B560BD"/>
    <w:rsid w:val="00B628A0"/>
    <w:rsid w:val="00B67D9D"/>
    <w:rsid w:val="00B70CE0"/>
    <w:rsid w:val="00B77E12"/>
    <w:rsid w:val="00B87F84"/>
    <w:rsid w:val="00B97CE6"/>
    <w:rsid w:val="00BA1480"/>
    <w:rsid w:val="00BA4457"/>
    <w:rsid w:val="00BA4AAD"/>
    <w:rsid w:val="00BA7D9C"/>
    <w:rsid w:val="00BB26E4"/>
    <w:rsid w:val="00BC4E25"/>
    <w:rsid w:val="00BC7BC2"/>
    <w:rsid w:val="00BE2239"/>
    <w:rsid w:val="00BE384D"/>
    <w:rsid w:val="00C003E0"/>
    <w:rsid w:val="00C0100D"/>
    <w:rsid w:val="00C03B85"/>
    <w:rsid w:val="00C07AA2"/>
    <w:rsid w:val="00C23DF1"/>
    <w:rsid w:val="00C2761B"/>
    <w:rsid w:val="00C30860"/>
    <w:rsid w:val="00C32CAE"/>
    <w:rsid w:val="00C359E7"/>
    <w:rsid w:val="00C35C78"/>
    <w:rsid w:val="00C416A4"/>
    <w:rsid w:val="00C43417"/>
    <w:rsid w:val="00C54E72"/>
    <w:rsid w:val="00C6545A"/>
    <w:rsid w:val="00C706C0"/>
    <w:rsid w:val="00C745B5"/>
    <w:rsid w:val="00C75860"/>
    <w:rsid w:val="00C80762"/>
    <w:rsid w:val="00C86240"/>
    <w:rsid w:val="00C863BB"/>
    <w:rsid w:val="00C95052"/>
    <w:rsid w:val="00CA4F57"/>
    <w:rsid w:val="00CB1AB3"/>
    <w:rsid w:val="00CC2523"/>
    <w:rsid w:val="00CC5480"/>
    <w:rsid w:val="00CC68F7"/>
    <w:rsid w:val="00CD2103"/>
    <w:rsid w:val="00CD3635"/>
    <w:rsid w:val="00CD5636"/>
    <w:rsid w:val="00CD629A"/>
    <w:rsid w:val="00CE46DA"/>
    <w:rsid w:val="00CE7DB3"/>
    <w:rsid w:val="00CF249F"/>
    <w:rsid w:val="00D011E0"/>
    <w:rsid w:val="00D02C7B"/>
    <w:rsid w:val="00D062B9"/>
    <w:rsid w:val="00D1143E"/>
    <w:rsid w:val="00D16C5C"/>
    <w:rsid w:val="00D20275"/>
    <w:rsid w:val="00D252CF"/>
    <w:rsid w:val="00D375B6"/>
    <w:rsid w:val="00D41766"/>
    <w:rsid w:val="00D47B79"/>
    <w:rsid w:val="00D61A31"/>
    <w:rsid w:val="00D6489A"/>
    <w:rsid w:val="00D67534"/>
    <w:rsid w:val="00D67BDF"/>
    <w:rsid w:val="00D843CF"/>
    <w:rsid w:val="00D867F3"/>
    <w:rsid w:val="00D86A54"/>
    <w:rsid w:val="00D90C77"/>
    <w:rsid w:val="00D953C4"/>
    <w:rsid w:val="00D9612D"/>
    <w:rsid w:val="00DA7EF3"/>
    <w:rsid w:val="00DB302D"/>
    <w:rsid w:val="00DB3DD7"/>
    <w:rsid w:val="00DC229B"/>
    <w:rsid w:val="00DC477B"/>
    <w:rsid w:val="00DC57F0"/>
    <w:rsid w:val="00DC69F5"/>
    <w:rsid w:val="00DD04A1"/>
    <w:rsid w:val="00DD6C58"/>
    <w:rsid w:val="00DD7A5A"/>
    <w:rsid w:val="00DE7D9E"/>
    <w:rsid w:val="00DF0F0F"/>
    <w:rsid w:val="00DF10FD"/>
    <w:rsid w:val="00DF7F51"/>
    <w:rsid w:val="00E06400"/>
    <w:rsid w:val="00E07AB4"/>
    <w:rsid w:val="00E14EA1"/>
    <w:rsid w:val="00E17849"/>
    <w:rsid w:val="00E23058"/>
    <w:rsid w:val="00E26780"/>
    <w:rsid w:val="00E3734E"/>
    <w:rsid w:val="00E50B4A"/>
    <w:rsid w:val="00E5339B"/>
    <w:rsid w:val="00E67C83"/>
    <w:rsid w:val="00E738CC"/>
    <w:rsid w:val="00E855F5"/>
    <w:rsid w:val="00E94AE0"/>
    <w:rsid w:val="00E9776F"/>
    <w:rsid w:val="00EA3C20"/>
    <w:rsid w:val="00EA3CBE"/>
    <w:rsid w:val="00EA7D97"/>
    <w:rsid w:val="00EB05ED"/>
    <w:rsid w:val="00EB364B"/>
    <w:rsid w:val="00EB71E4"/>
    <w:rsid w:val="00EC7F4F"/>
    <w:rsid w:val="00ED2713"/>
    <w:rsid w:val="00ED2748"/>
    <w:rsid w:val="00ED54A8"/>
    <w:rsid w:val="00ED6C86"/>
    <w:rsid w:val="00ED70FF"/>
    <w:rsid w:val="00ED7E89"/>
    <w:rsid w:val="00EE230A"/>
    <w:rsid w:val="00EE2C52"/>
    <w:rsid w:val="00EE42EF"/>
    <w:rsid w:val="00EE778D"/>
    <w:rsid w:val="00EF21F9"/>
    <w:rsid w:val="00EF2ED9"/>
    <w:rsid w:val="00F0267C"/>
    <w:rsid w:val="00F02701"/>
    <w:rsid w:val="00F044AC"/>
    <w:rsid w:val="00F11C9F"/>
    <w:rsid w:val="00F15DF3"/>
    <w:rsid w:val="00F232B9"/>
    <w:rsid w:val="00F43839"/>
    <w:rsid w:val="00F43F9F"/>
    <w:rsid w:val="00F5333B"/>
    <w:rsid w:val="00F56460"/>
    <w:rsid w:val="00F56C19"/>
    <w:rsid w:val="00F5770F"/>
    <w:rsid w:val="00F57EE3"/>
    <w:rsid w:val="00F6188D"/>
    <w:rsid w:val="00F65202"/>
    <w:rsid w:val="00F83577"/>
    <w:rsid w:val="00F8474F"/>
    <w:rsid w:val="00F847BC"/>
    <w:rsid w:val="00F8489B"/>
    <w:rsid w:val="00F9392D"/>
    <w:rsid w:val="00FA1356"/>
    <w:rsid w:val="00FB10DC"/>
    <w:rsid w:val="00FB316E"/>
    <w:rsid w:val="00FB45CA"/>
    <w:rsid w:val="00FB7117"/>
    <w:rsid w:val="00FC1641"/>
    <w:rsid w:val="00FE19D5"/>
    <w:rsid w:val="00FE5642"/>
    <w:rsid w:val="00FF5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A6230"/>
  <w15:docId w15:val="{58CC72E5-8C0F-45DC-A637-C5BB4411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20459"/>
    <w:pPr>
      <w:jc w:val="both"/>
    </w:pPr>
    <w:rPr>
      <w:rFonts w:ascii="Garamond" w:hAnsi="Garamond"/>
      <w:sz w:val="24"/>
      <w:szCs w:val="24"/>
    </w:rPr>
  </w:style>
  <w:style w:type="paragraph" w:styleId="Nadpis1">
    <w:name w:val="heading 1"/>
    <w:basedOn w:val="Normln"/>
    <w:next w:val="Normln"/>
    <w:qFormat/>
    <w:rsid w:val="004E1440"/>
    <w:pPr>
      <w:keepNext/>
      <w:jc w:val="center"/>
      <w:outlineLvl w:val="0"/>
    </w:pPr>
    <w:rPr>
      <w:rFonts w:ascii="Times New Roman" w:hAnsi="Times New Roman"/>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20459"/>
    <w:pPr>
      <w:tabs>
        <w:tab w:val="center" w:pos="4536"/>
        <w:tab w:val="right" w:pos="9072"/>
      </w:tabs>
      <w:jc w:val="left"/>
    </w:pPr>
    <w:rPr>
      <w:rFonts w:ascii="Times New Roman" w:hAnsi="Times New Roman"/>
      <w:sz w:val="20"/>
      <w:szCs w:val="20"/>
    </w:rPr>
  </w:style>
  <w:style w:type="paragraph" w:customStyle="1" w:styleId="hlavikavlevo">
    <w:name w:val="hlavička vlevo"/>
    <w:basedOn w:val="Normln"/>
    <w:rsid w:val="00220459"/>
    <w:pPr>
      <w:keepNext/>
      <w:jc w:val="left"/>
      <w:outlineLvl w:val="3"/>
    </w:pPr>
    <w:rPr>
      <w:snapToGrid w:val="0"/>
      <w:szCs w:val="20"/>
    </w:rPr>
  </w:style>
  <w:style w:type="paragraph" w:customStyle="1" w:styleId="hlavikavpravo">
    <w:name w:val="hlavička vpravo"/>
    <w:basedOn w:val="Normln"/>
    <w:rsid w:val="00220459"/>
    <w:pPr>
      <w:keepNext/>
      <w:jc w:val="right"/>
      <w:outlineLvl w:val="3"/>
    </w:pPr>
    <w:rPr>
      <w:snapToGrid w:val="0"/>
      <w:szCs w:val="20"/>
    </w:rPr>
  </w:style>
  <w:style w:type="paragraph" w:styleId="Zpat">
    <w:name w:val="footer"/>
    <w:basedOn w:val="Normln"/>
    <w:rsid w:val="00DD6C58"/>
    <w:pPr>
      <w:tabs>
        <w:tab w:val="center" w:pos="4536"/>
        <w:tab w:val="right" w:pos="9072"/>
      </w:tabs>
    </w:pPr>
  </w:style>
  <w:style w:type="character" w:styleId="slostrnky">
    <w:name w:val="page number"/>
    <w:basedOn w:val="Standardnpsmoodstavce"/>
    <w:rsid w:val="00DD6C58"/>
  </w:style>
  <w:style w:type="paragraph" w:styleId="Seznam2">
    <w:name w:val="List 2"/>
    <w:basedOn w:val="Normln"/>
    <w:rsid w:val="00410401"/>
    <w:pPr>
      <w:ind w:left="566" w:hanging="283"/>
      <w:jc w:val="left"/>
    </w:pPr>
    <w:rPr>
      <w:rFonts w:ascii="Times New Roman" w:hAnsi="Times New Roman"/>
    </w:rPr>
  </w:style>
  <w:style w:type="paragraph" w:customStyle="1" w:styleId="adresa">
    <w:name w:val="adresa"/>
    <w:basedOn w:val="Seznam2"/>
    <w:rsid w:val="00410401"/>
    <w:rPr>
      <w:rFonts w:ascii="Garamond" w:hAnsi="Garamond"/>
    </w:rPr>
  </w:style>
  <w:style w:type="paragraph" w:customStyle="1" w:styleId="VBrndne">
    <w:name w:val="V Brně dne"/>
    <w:basedOn w:val="Seznam"/>
    <w:rsid w:val="00410401"/>
    <w:pPr>
      <w:ind w:left="4860" w:right="1152" w:firstLine="257"/>
      <w:jc w:val="right"/>
    </w:pPr>
  </w:style>
  <w:style w:type="paragraph" w:styleId="Seznam">
    <w:name w:val="List"/>
    <w:basedOn w:val="Normln"/>
    <w:rsid w:val="00410401"/>
    <w:pPr>
      <w:ind w:left="283" w:hanging="283"/>
    </w:pPr>
  </w:style>
  <w:style w:type="paragraph" w:customStyle="1" w:styleId="Vc">
    <w:name w:val="Věc:"/>
    <w:aliases w:val="sp. zn.,příloha"/>
    <w:basedOn w:val="Normlnodsazen"/>
    <w:rsid w:val="00410401"/>
    <w:pPr>
      <w:ind w:left="0"/>
      <w:jc w:val="left"/>
    </w:pPr>
    <w:rPr>
      <w:b/>
    </w:rPr>
  </w:style>
  <w:style w:type="paragraph" w:styleId="Normlnodsazen">
    <w:name w:val="Normal Indent"/>
    <w:basedOn w:val="Normln"/>
    <w:rsid w:val="00410401"/>
    <w:pPr>
      <w:ind w:left="708"/>
    </w:pPr>
  </w:style>
  <w:style w:type="paragraph" w:styleId="Zkladntext">
    <w:name w:val="Body Text"/>
    <w:basedOn w:val="Normln"/>
    <w:rsid w:val="004E1440"/>
    <w:rPr>
      <w:rFonts w:ascii="Times New Roman" w:hAnsi="Times New Roman"/>
    </w:rPr>
  </w:style>
  <w:style w:type="character" w:styleId="Hypertextovodkaz">
    <w:name w:val="Hyperlink"/>
    <w:basedOn w:val="Standardnpsmoodstavce"/>
    <w:unhideWhenUsed/>
    <w:rsid w:val="00DC69F5"/>
    <w:rPr>
      <w:color w:val="0000FF"/>
      <w:u w:val="single"/>
    </w:rPr>
  </w:style>
  <w:style w:type="paragraph" w:styleId="Odstavecseseznamem">
    <w:name w:val="List Paragraph"/>
    <w:basedOn w:val="Normln"/>
    <w:link w:val="OdstavecseseznamemChar"/>
    <w:uiPriority w:val="34"/>
    <w:qFormat/>
    <w:rsid w:val="00094DC5"/>
    <w:pPr>
      <w:ind w:left="720"/>
      <w:contextualSpacing/>
      <w:jc w:val="left"/>
    </w:pPr>
    <w:rPr>
      <w:rFonts w:ascii="Times New Roman" w:hAnsi="Times New Roman"/>
    </w:rPr>
  </w:style>
  <w:style w:type="character" w:customStyle="1" w:styleId="OdstavecseseznamemChar">
    <w:name w:val="Odstavec se seznamem Char"/>
    <w:basedOn w:val="Standardnpsmoodstavce"/>
    <w:link w:val="Odstavecseseznamem"/>
    <w:uiPriority w:val="34"/>
    <w:rsid w:val="00094DC5"/>
    <w:rPr>
      <w:sz w:val="24"/>
      <w:szCs w:val="24"/>
    </w:rPr>
  </w:style>
  <w:style w:type="paragraph" w:customStyle="1" w:styleId="Zkladnsslovnm">
    <w:name w:val="Základní s číslováním"/>
    <w:basedOn w:val="Normln"/>
    <w:qFormat/>
    <w:rsid w:val="00094DC5"/>
    <w:pPr>
      <w:numPr>
        <w:ilvl w:val="1"/>
        <w:numId w:val="3"/>
      </w:numPr>
      <w:tabs>
        <w:tab w:val="left" w:pos="709"/>
      </w:tabs>
    </w:pPr>
  </w:style>
  <w:style w:type="paragraph" w:customStyle="1" w:styleId="Proloen">
    <w:name w:val="Proloženě"/>
    <w:basedOn w:val="Normln"/>
    <w:link w:val="ProloenChar"/>
    <w:qFormat/>
    <w:rsid w:val="00094DC5"/>
    <w:pPr>
      <w:jc w:val="center"/>
    </w:pPr>
    <w:rPr>
      <w:rFonts w:eastAsiaTheme="minorEastAsia" w:cstheme="minorBidi"/>
      <w:b/>
      <w:spacing w:val="60"/>
    </w:rPr>
  </w:style>
  <w:style w:type="character" w:customStyle="1" w:styleId="ProloenChar">
    <w:name w:val="Proloženě Char"/>
    <w:basedOn w:val="Standardnpsmoodstavce"/>
    <w:link w:val="Proloen"/>
    <w:rsid w:val="00094DC5"/>
    <w:rPr>
      <w:rFonts w:ascii="Garamond" w:eastAsiaTheme="minorEastAsia" w:hAnsi="Garamond" w:cstheme="minorBidi"/>
      <w:b/>
      <w:spacing w:val="60"/>
      <w:sz w:val="24"/>
      <w:szCs w:val="24"/>
    </w:rPr>
  </w:style>
  <w:style w:type="paragraph" w:customStyle="1" w:styleId="Styl5">
    <w:name w:val="Styl5"/>
    <w:basedOn w:val="Zkladnsslovnm"/>
    <w:link w:val="Styl5Char"/>
    <w:qFormat/>
    <w:rsid w:val="00094DC5"/>
    <w:pPr>
      <w:numPr>
        <w:ilvl w:val="0"/>
        <w:numId w:val="0"/>
      </w:numPr>
      <w:tabs>
        <w:tab w:val="left" w:pos="567"/>
      </w:tabs>
      <w:spacing w:before="240"/>
      <w:ind w:left="1440" w:hanging="360"/>
    </w:pPr>
    <w:rPr>
      <w:rFonts w:eastAsiaTheme="minorHAnsi"/>
    </w:rPr>
  </w:style>
  <w:style w:type="character" w:customStyle="1" w:styleId="Styl5Char">
    <w:name w:val="Styl5 Char"/>
    <w:basedOn w:val="Standardnpsmoodstavce"/>
    <w:link w:val="Styl5"/>
    <w:rsid w:val="00094DC5"/>
    <w:rPr>
      <w:rFonts w:ascii="Garamond" w:eastAsiaTheme="minorHAnsi" w:hAnsi="Garamond"/>
      <w:sz w:val="24"/>
      <w:szCs w:val="24"/>
    </w:rPr>
  </w:style>
  <w:style w:type="paragraph" w:customStyle="1" w:styleId="mmvrok">
    <w:name w:val="mm výrok"/>
    <w:basedOn w:val="Normln"/>
    <w:rsid w:val="001A086D"/>
    <w:pPr>
      <w:keepLines/>
      <w:numPr>
        <w:numId w:val="11"/>
      </w:numPr>
      <w:suppressAutoHyphens/>
      <w:spacing w:before="60" w:after="60" w:line="120" w:lineRule="atLeast"/>
    </w:pPr>
    <w:rPr>
      <w:b/>
      <w:sz w:val="27"/>
      <w:szCs w:val="20"/>
    </w:rPr>
  </w:style>
  <w:style w:type="paragraph" w:styleId="Textbubliny">
    <w:name w:val="Balloon Text"/>
    <w:basedOn w:val="Normln"/>
    <w:link w:val="TextbublinyChar"/>
    <w:semiHidden/>
    <w:unhideWhenUsed/>
    <w:rsid w:val="002D39FB"/>
    <w:rPr>
      <w:rFonts w:ascii="Segoe UI" w:hAnsi="Segoe UI" w:cs="Segoe UI"/>
      <w:sz w:val="18"/>
      <w:szCs w:val="18"/>
    </w:rPr>
  </w:style>
  <w:style w:type="character" w:customStyle="1" w:styleId="TextbublinyChar">
    <w:name w:val="Text bubliny Char"/>
    <w:basedOn w:val="Standardnpsmoodstavce"/>
    <w:link w:val="Textbubliny"/>
    <w:semiHidden/>
    <w:rsid w:val="002D39FB"/>
    <w:rPr>
      <w:rFonts w:ascii="Segoe UI" w:hAnsi="Segoe UI" w:cs="Segoe UI"/>
      <w:sz w:val="18"/>
      <w:szCs w:val="18"/>
    </w:rPr>
  </w:style>
  <w:style w:type="paragraph" w:styleId="Revize">
    <w:name w:val="Revision"/>
    <w:hidden/>
    <w:uiPriority w:val="99"/>
    <w:semiHidden/>
    <w:rsid w:val="00FB316E"/>
    <w:rPr>
      <w:rFonts w:ascii="Garamond" w:hAnsi="Garamond"/>
      <w:sz w:val="24"/>
      <w:szCs w:val="24"/>
    </w:rPr>
  </w:style>
  <w:style w:type="character" w:styleId="Odkaznakoment">
    <w:name w:val="annotation reference"/>
    <w:basedOn w:val="Standardnpsmoodstavce"/>
    <w:semiHidden/>
    <w:unhideWhenUsed/>
    <w:rsid w:val="00FB316E"/>
    <w:rPr>
      <w:sz w:val="16"/>
      <w:szCs w:val="16"/>
    </w:rPr>
  </w:style>
  <w:style w:type="paragraph" w:styleId="Textkomente">
    <w:name w:val="annotation text"/>
    <w:basedOn w:val="Normln"/>
    <w:link w:val="TextkomenteChar"/>
    <w:unhideWhenUsed/>
    <w:rsid w:val="00FB316E"/>
    <w:rPr>
      <w:sz w:val="20"/>
      <w:szCs w:val="20"/>
    </w:rPr>
  </w:style>
  <w:style w:type="character" w:customStyle="1" w:styleId="TextkomenteChar">
    <w:name w:val="Text komentáře Char"/>
    <w:basedOn w:val="Standardnpsmoodstavce"/>
    <w:link w:val="Textkomente"/>
    <w:rsid w:val="00FB316E"/>
    <w:rPr>
      <w:rFonts w:ascii="Garamond" w:hAnsi="Garamond"/>
    </w:rPr>
  </w:style>
  <w:style w:type="paragraph" w:styleId="Pedmtkomente">
    <w:name w:val="annotation subject"/>
    <w:basedOn w:val="Textkomente"/>
    <w:next w:val="Textkomente"/>
    <w:link w:val="PedmtkomenteChar"/>
    <w:semiHidden/>
    <w:unhideWhenUsed/>
    <w:rsid w:val="00FB316E"/>
    <w:rPr>
      <w:b/>
      <w:bCs/>
    </w:rPr>
  </w:style>
  <w:style w:type="character" w:customStyle="1" w:styleId="PedmtkomenteChar">
    <w:name w:val="Předmět komentáře Char"/>
    <w:basedOn w:val="TextkomenteChar"/>
    <w:link w:val="Pedmtkomente"/>
    <w:semiHidden/>
    <w:rsid w:val="00FB316E"/>
    <w:rPr>
      <w:rFonts w:ascii="Garamond" w:hAnsi="Garamond"/>
      <w:b/>
      <w:bCs/>
    </w:rPr>
  </w:style>
  <w:style w:type="character" w:customStyle="1" w:styleId="Nevyeenzmnka1">
    <w:name w:val="Nevyřešená zmínka1"/>
    <w:basedOn w:val="Standardnpsmoodstavce"/>
    <w:uiPriority w:val="99"/>
    <w:semiHidden/>
    <w:unhideWhenUsed/>
    <w:rsid w:val="00A54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502">
      <w:bodyDiv w:val="1"/>
      <w:marLeft w:val="0"/>
      <w:marRight w:val="0"/>
      <w:marTop w:val="0"/>
      <w:marBottom w:val="0"/>
      <w:divBdr>
        <w:top w:val="none" w:sz="0" w:space="0" w:color="auto"/>
        <w:left w:val="none" w:sz="0" w:space="0" w:color="auto"/>
        <w:bottom w:val="none" w:sz="0" w:space="0" w:color="auto"/>
        <w:right w:val="none" w:sz="0" w:space="0" w:color="auto"/>
      </w:divBdr>
      <w:divsChild>
        <w:div w:id="1374498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619A959F2795478FEB051C1E95F02C" ma:contentTypeVersion="0" ma:contentTypeDescription="Vytvoří nový dokument" ma:contentTypeScope="" ma:versionID="ff8857d34133044cb3d4a1fe81c2fcdc">
  <xsd:schema xmlns:xsd="http://www.w3.org/2001/XMLSchema" xmlns:xs="http://www.w3.org/2001/XMLSchema" xmlns:p="http://schemas.microsoft.com/office/2006/metadata/properties" targetNamespace="http://schemas.microsoft.com/office/2006/metadata/properties" ma:root="true" ma:fieldsID="7bb0b85cf6ec3df31f7bbb0953499e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6818E-A7F0-4DF7-8A84-CDB8644E4B33}">
  <ds:schemaRefs>
    <ds:schemaRef ds:uri="http://schemas.openxmlformats.org/officeDocument/2006/bibliography"/>
  </ds:schemaRefs>
</ds:datastoreItem>
</file>

<file path=customXml/itemProps2.xml><?xml version="1.0" encoding="utf-8"?>
<ds:datastoreItem xmlns:ds="http://schemas.openxmlformats.org/officeDocument/2006/customXml" ds:itemID="{7664FD27-8316-4BD9-99C0-6A5E526A6EA3}">
  <ds:schemaRefs>
    <ds:schemaRef ds:uri="http://schemas.microsoft.com/sharepoint/v3/contenttype/forms"/>
  </ds:schemaRefs>
</ds:datastoreItem>
</file>

<file path=customXml/itemProps3.xml><?xml version="1.0" encoding="utf-8"?>
<ds:datastoreItem xmlns:ds="http://schemas.openxmlformats.org/officeDocument/2006/customXml" ds:itemID="{A20293CF-74BB-4A48-908B-E741DF102DB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9AD0EB1C-30D9-4A55-8633-C34A3342C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2195</Words>
  <Characters>12160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Protokol o hlasování</vt:lpstr>
    </vt:vector>
  </TitlesOfParts>
  <Company>NSSOUD</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 o hlasování</dc:title>
  <dc:creator>Micinka soud</dc:creator>
  <cp:lastModifiedBy>Hovorková Šárka DiS. (Navrátilová)</cp:lastModifiedBy>
  <cp:revision>6</cp:revision>
  <cp:lastPrinted>2025-11-13T11:38:00Z</cp:lastPrinted>
  <dcterms:created xsi:type="dcterms:W3CDTF">2025-11-12T15:44:00Z</dcterms:created>
  <dcterms:modified xsi:type="dcterms:W3CDTF">2025-11-13T11:38:00Z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0x010100DE619A959F2795478FEB051C1E95F02C</vt:lpwstr>
  </property>
</Properties>
</file>