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6B2E0" w14:textId="77777777" w:rsidR="007800C0" w:rsidRPr="00F7204D" w:rsidRDefault="007800C0" w:rsidP="007800C0">
      <w:bookmarkStart w:id="0" w:name="_GoBack"/>
      <w:bookmarkEnd w:id="0"/>
      <w:r w:rsidRPr="00F7204D">
        <w:rPr>
          <w:noProof/>
        </w:rPr>
        <w:drawing>
          <wp:inline distT="0" distB="0" distL="0" distR="0" wp14:anchorId="3BF6B322" wp14:editId="3BF6B323">
            <wp:extent cx="1051560" cy="1249680"/>
            <wp:effectExtent l="19050" t="0" r="0" b="0"/>
            <wp:docPr id="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6B2E1" w14:textId="77777777" w:rsidR="007800C0" w:rsidRPr="00F7204D" w:rsidRDefault="007800C0" w:rsidP="007800C0"/>
    <w:p w14:paraId="3BF6B2E2" w14:textId="77777777" w:rsidR="007800C0" w:rsidRPr="00F7204D" w:rsidRDefault="007800C0" w:rsidP="007800C0">
      <w:r w:rsidRPr="00F7204D">
        <w:rPr>
          <w:sz w:val="28"/>
          <w:szCs w:val="28"/>
        </w:rPr>
        <w:t>ČESKÁ REPUBLIKA</w:t>
      </w:r>
    </w:p>
    <w:p w14:paraId="3BF6B2E3" w14:textId="77777777" w:rsidR="007800C0" w:rsidRPr="00F7204D" w:rsidRDefault="007800C0" w:rsidP="007800C0"/>
    <w:p w14:paraId="3BF6B2E4" w14:textId="77777777" w:rsidR="007800C0" w:rsidRPr="001F2120" w:rsidRDefault="007800C0" w:rsidP="007800C0">
      <w:pPr>
        <w:rPr>
          <w:b/>
          <w:spacing w:val="60"/>
        </w:rPr>
      </w:pPr>
      <w:r w:rsidRPr="001F2120">
        <w:rPr>
          <w:b/>
          <w:spacing w:val="60"/>
          <w:sz w:val="32"/>
          <w:szCs w:val="32"/>
        </w:rPr>
        <w:t>ROZSUDEK</w:t>
      </w:r>
    </w:p>
    <w:p w14:paraId="3BF6B2E5" w14:textId="77777777" w:rsidR="007800C0" w:rsidRPr="001F2120" w:rsidRDefault="007800C0" w:rsidP="007800C0">
      <w:pPr>
        <w:rPr>
          <w:b/>
          <w:spacing w:val="60"/>
          <w:sz w:val="32"/>
          <w:szCs w:val="32"/>
        </w:rPr>
      </w:pPr>
      <w:r w:rsidRPr="001F2120">
        <w:rPr>
          <w:b/>
          <w:spacing w:val="60"/>
          <w:sz w:val="32"/>
          <w:szCs w:val="32"/>
        </w:rPr>
        <w:t>JMÉNEM</w:t>
      </w:r>
      <w:r w:rsidR="001F2120" w:rsidRPr="001F2120">
        <w:rPr>
          <w:b/>
          <w:spacing w:val="60"/>
          <w:sz w:val="32"/>
          <w:szCs w:val="32"/>
        </w:rPr>
        <w:t xml:space="preserve"> </w:t>
      </w:r>
      <w:r w:rsidRPr="001F2120">
        <w:rPr>
          <w:b/>
          <w:spacing w:val="60"/>
          <w:sz w:val="32"/>
          <w:szCs w:val="32"/>
        </w:rPr>
        <w:t>REPUBLIKY</w:t>
      </w:r>
    </w:p>
    <w:p w14:paraId="3BF6B2E6" w14:textId="77777777" w:rsidR="00435164" w:rsidRDefault="00435164" w:rsidP="00DA6C13">
      <w:pPr>
        <w:jc w:val="both"/>
      </w:pPr>
    </w:p>
    <w:p w14:paraId="3BF6B2E7" w14:textId="77777777" w:rsidR="001F2120" w:rsidRPr="00F7204D" w:rsidRDefault="001F2120" w:rsidP="00DA6C13">
      <w:pPr>
        <w:jc w:val="both"/>
      </w:pPr>
    </w:p>
    <w:p w14:paraId="3BF6B2E8" w14:textId="77777777" w:rsidR="00435164" w:rsidRPr="008D60D1" w:rsidRDefault="00435164" w:rsidP="00435164">
      <w:pPr>
        <w:jc w:val="both"/>
      </w:pPr>
      <w:r w:rsidRPr="008D60D1">
        <w:t xml:space="preserve">Nejvyšší správní soud rozhodl v senátě složeném z předsedy JUDr. Karla Šimky a soudkyň Mgr. Evy Šonkové </w:t>
      </w:r>
      <w:r w:rsidR="00CA4E2B">
        <w:t xml:space="preserve">a Mgr. Sylvy Šiškeové </w:t>
      </w:r>
      <w:r w:rsidRPr="008D60D1">
        <w:t>v právní věci</w:t>
      </w:r>
      <w:r w:rsidR="008A3C15" w:rsidRPr="001D04C7">
        <w:t xml:space="preserve"> </w:t>
      </w:r>
      <w:r w:rsidR="00CA4173" w:rsidRPr="00D31917">
        <w:t xml:space="preserve">žalobce: </w:t>
      </w:r>
      <w:r w:rsidR="00CA4E2B">
        <w:rPr>
          <w:b/>
        </w:rPr>
        <w:t>P</w:t>
      </w:r>
      <w:r w:rsidR="00756796">
        <w:rPr>
          <w:b/>
        </w:rPr>
        <w:t xml:space="preserve">. </w:t>
      </w:r>
      <w:r w:rsidR="00CA4E2B">
        <w:rPr>
          <w:b/>
        </w:rPr>
        <w:t>N</w:t>
      </w:r>
      <w:r w:rsidR="00756796">
        <w:rPr>
          <w:b/>
        </w:rPr>
        <w:t>.</w:t>
      </w:r>
      <w:r w:rsidR="00CA4E2B">
        <w:t>,</w:t>
      </w:r>
      <w:r w:rsidR="00CA4E2B" w:rsidRPr="00B70280">
        <w:t xml:space="preserve"> </w:t>
      </w:r>
      <w:r w:rsidR="00CA4E2B">
        <w:t>zast. JUDr. Lucií Mad</w:t>
      </w:r>
      <w:r w:rsidR="006C6314">
        <w:t>leňákovou, Ph.D., advokátkou se </w:t>
      </w:r>
      <w:r w:rsidR="00CA4E2B">
        <w:t>sídlem Nádražní 381/9, Mohelnice,</w:t>
      </w:r>
      <w:r w:rsidR="00CA4E2B" w:rsidRPr="00B70280">
        <w:rPr>
          <w:rFonts w:eastAsia="Calibri"/>
          <w:lang w:eastAsia="en-US" w:bidi="en-US"/>
        </w:rPr>
        <w:t xml:space="preserve"> </w:t>
      </w:r>
      <w:r w:rsidR="00CA4E2B" w:rsidRPr="00B70280">
        <w:t>proti</w:t>
      </w:r>
      <w:r w:rsidR="00CA4E2B" w:rsidRPr="00B70280">
        <w:rPr>
          <w:b/>
        </w:rPr>
        <w:t xml:space="preserve"> </w:t>
      </w:r>
      <w:r w:rsidR="00CA4E2B">
        <w:t>žalované</w:t>
      </w:r>
      <w:r w:rsidR="00CA4E2B" w:rsidRPr="00B70280">
        <w:t>:</w:t>
      </w:r>
      <w:r w:rsidR="00CA4E2B" w:rsidRPr="00B70280">
        <w:rPr>
          <w:b/>
        </w:rPr>
        <w:t xml:space="preserve"> </w:t>
      </w:r>
      <w:r w:rsidR="00CA4E2B">
        <w:rPr>
          <w:b/>
        </w:rPr>
        <w:t>Vězeňská služba ČR, Vazební věznice Olomouc</w:t>
      </w:r>
      <w:r w:rsidR="00CA4E2B" w:rsidRPr="00B70280">
        <w:t xml:space="preserve">, se sídlem </w:t>
      </w:r>
      <w:r w:rsidR="00CA4E2B">
        <w:t>Švermova 2, Olomouc</w:t>
      </w:r>
      <w:r w:rsidR="00CA4E2B" w:rsidRPr="00B70280">
        <w:t xml:space="preserve">, ve věci </w:t>
      </w:r>
      <w:r w:rsidR="00CA4E2B" w:rsidRPr="004B16C5">
        <w:t xml:space="preserve">žaloby </w:t>
      </w:r>
      <w:r w:rsidR="00CA4E2B">
        <w:rPr>
          <w:rFonts w:eastAsiaTheme="minorHAnsi" w:cs="Garamond-Bold"/>
          <w:bCs/>
          <w:lang w:eastAsia="en-US"/>
        </w:rPr>
        <w:t>na ochranu před nezákonným zásahem</w:t>
      </w:r>
      <w:r w:rsidR="00CA4E2B" w:rsidRPr="004B16C5">
        <w:t xml:space="preserve"> </w:t>
      </w:r>
      <w:r w:rsidR="00CA4E2B">
        <w:t>žalované</w:t>
      </w:r>
      <w:r w:rsidR="00CA4E2B" w:rsidRPr="00B70280">
        <w:t>, v říze</w:t>
      </w:r>
      <w:r w:rsidR="00CA4E2B">
        <w:t>ní o kasační stížnosti žalobce</w:t>
      </w:r>
      <w:r w:rsidR="00CA4E2B" w:rsidRPr="00B70280">
        <w:t xml:space="preserve"> proti </w:t>
      </w:r>
      <w:r w:rsidR="00CA4E2B">
        <w:t>usnesení</w:t>
      </w:r>
      <w:r w:rsidR="00CA4E2B" w:rsidRPr="00B70280">
        <w:t xml:space="preserve"> </w:t>
      </w:r>
      <w:r w:rsidR="00CA4E2B">
        <w:t>Krajského</w:t>
      </w:r>
      <w:r w:rsidR="00CA4E2B" w:rsidRPr="00B70280">
        <w:t xml:space="preserve"> soudu v</w:t>
      </w:r>
      <w:r w:rsidR="00726200">
        <w:t> Ostravě </w:t>
      </w:r>
      <w:r w:rsidR="00CA4E2B">
        <w:t>– pobočka v Olomouci</w:t>
      </w:r>
      <w:r w:rsidR="00CA4E2B" w:rsidRPr="00B70280">
        <w:t xml:space="preserve"> ze dne </w:t>
      </w:r>
      <w:r w:rsidR="00126FAE">
        <w:t>2. 7. 2020, čj. 65 A </w:t>
      </w:r>
      <w:r w:rsidR="00CA4E2B">
        <w:t>66/2020</w:t>
      </w:r>
      <w:r w:rsidR="006C6314">
        <w:t> </w:t>
      </w:r>
      <w:r w:rsidR="006C6314">
        <w:noBreakHyphen/>
        <w:t> </w:t>
      </w:r>
      <w:r w:rsidR="00CA4E2B">
        <w:t>38</w:t>
      </w:r>
      <w:r w:rsidRPr="008D60D1">
        <w:t xml:space="preserve">, </w:t>
      </w:r>
    </w:p>
    <w:p w14:paraId="3BF6B2E9" w14:textId="77777777" w:rsidR="00435164" w:rsidRDefault="00435164" w:rsidP="001F2120">
      <w:pPr>
        <w:jc w:val="both"/>
      </w:pPr>
    </w:p>
    <w:p w14:paraId="3BF6B2EA" w14:textId="77777777" w:rsidR="001F2120" w:rsidRPr="00F7204D" w:rsidRDefault="001F2120" w:rsidP="001F2120">
      <w:pPr>
        <w:jc w:val="both"/>
      </w:pPr>
    </w:p>
    <w:p w14:paraId="3BF6B2EB" w14:textId="77777777" w:rsidR="00435164" w:rsidRPr="001F2120" w:rsidRDefault="001F2120" w:rsidP="00435164">
      <w:pPr>
        <w:rPr>
          <w:spacing w:val="60"/>
        </w:rPr>
      </w:pPr>
      <w:r w:rsidRPr="001F2120">
        <w:rPr>
          <w:b/>
          <w:spacing w:val="60"/>
        </w:rPr>
        <w:t>t</w:t>
      </w:r>
      <w:r w:rsidR="00435164" w:rsidRPr="001F2120">
        <w:rPr>
          <w:b/>
          <w:spacing w:val="60"/>
        </w:rPr>
        <w:t>akto:</w:t>
      </w:r>
    </w:p>
    <w:p w14:paraId="3BF6B2EC" w14:textId="77777777" w:rsidR="00DA6C13" w:rsidRDefault="00DA6C13" w:rsidP="00DA6C13">
      <w:pPr>
        <w:pStyle w:val="Odstavecseseznamem"/>
        <w:ind w:left="0"/>
        <w:jc w:val="both"/>
      </w:pPr>
    </w:p>
    <w:p w14:paraId="3BF6B2ED" w14:textId="77777777" w:rsidR="00726200" w:rsidRDefault="00726200" w:rsidP="00DA6C13">
      <w:pPr>
        <w:pStyle w:val="Odstavecseseznamem"/>
        <w:ind w:left="0"/>
        <w:jc w:val="both"/>
      </w:pPr>
    </w:p>
    <w:p w14:paraId="3BF6B2EE" w14:textId="77777777" w:rsidR="00264784" w:rsidRPr="00007B24" w:rsidRDefault="00DA6C13" w:rsidP="00DA6C13">
      <w:pPr>
        <w:pStyle w:val="Odstavecseseznamem"/>
        <w:ind w:left="0"/>
        <w:jc w:val="both"/>
      </w:pPr>
      <w:r w:rsidRPr="00DA6C13">
        <w:rPr>
          <w:b/>
        </w:rPr>
        <w:t>I.</w:t>
      </w:r>
      <w:r>
        <w:tab/>
      </w:r>
      <w:r w:rsidR="00264784" w:rsidRPr="00007B24">
        <w:t>Kasační stížnos</w:t>
      </w:r>
      <w:r>
        <w:rPr>
          <w:spacing w:val="60"/>
        </w:rPr>
        <w:t xml:space="preserve">t </w:t>
      </w:r>
      <w:r w:rsidR="00CD3EFA">
        <w:t>žalobce</w:t>
      </w:r>
      <w:r w:rsidR="00264784" w:rsidRPr="00007B24">
        <w:rPr>
          <w:spacing w:val="60"/>
        </w:rPr>
        <w:t xml:space="preserve"> </w:t>
      </w:r>
      <w:r w:rsidR="00264784" w:rsidRPr="00007B24">
        <w:rPr>
          <w:b/>
          <w:spacing w:val="60"/>
        </w:rPr>
        <w:t xml:space="preserve">se </w:t>
      </w:r>
      <w:r w:rsidR="007800C0">
        <w:rPr>
          <w:b/>
          <w:spacing w:val="60"/>
        </w:rPr>
        <w:t>zamítá</w:t>
      </w:r>
      <w:r w:rsidR="00264784" w:rsidRPr="00007B24">
        <w:rPr>
          <w:b/>
          <w:spacing w:val="60"/>
        </w:rPr>
        <w:t>.</w:t>
      </w:r>
    </w:p>
    <w:p w14:paraId="3BF6B2EF" w14:textId="77777777" w:rsidR="00264784" w:rsidRPr="00007B24" w:rsidRDefault="00264784" w:rsidP="00264784">
      <w:pPr>
        <w:jc w:val="both"/>
      </w:pPr>
    </w:p>
    <w:p w14:paraId="3BF6B2F0" w14:textId="77777777" w:rsidR="00CD3EFA" w:rsidRPr="00007B24" w:rsidRDefault="00264784" w:rsidP="00CD3EFA">
      <w:pPr>
        <w:ind w:left="705" w:hanging="705"/>
        <w:jc w:val="both"/>
      </w:pPr>
      <w:r w:rsidRPr="00007B24">
        <w:rPr>
          <w:b/>
        </w:rPr>
        <w:t>II.</w:t>
      </w:r>
      <w:r w:rsidRPr="00007B24">
        <w:rPr>
          <w:b/>
        </w:rPr>
        <w:tab/>
      </w:r>
      <w:r w:rsidR="001226B2">
        <w:t>Žalo</w:t>
      </w:r>
      <w:r w:rsidR="00CD3EFA">
        <w:t>bce</w:t>
      </w:r>
      <w:r w:rsidR="007800C0" w:rsidRPr="00007B24">
        <w:rPr>
          <w:spacing w:val="60"/>
        </w:rPr>
        <w:t xml:space="preserve"> </w:t>
      </w:r>
      <w:r w:rsidR="007800C0" w:rsidRPr="00007B24">
        <w:rPr>
          <w:b/>
          <w:spacing w:val="60"/>
        </w:rPr>
        <w:t>nemá</w:t>
      </w:r>
      <w:r w:rsidR="007800C0" w:rsidRPr="00007B24">
        <w:rPr>
          <w:b/>
        </w:rPr>
        <w:t xml:space="preserve"> </w:t>
      </w:r>
      <w:r w:rsidR="007800C0" w:rsidRPr="00007B24">
        <w:t>právo na</w:t>
      </w:r>
      <w:r w:rsidR="007800C0" w:rsidRPr="00007B24">
        <w:rPr>
          <w:spacing w:val="40"/>
        </w:rPr>
        <w:t xml:space="preserve"> </w:t>
      </w:r>
      <w:r w:rsidR="007800C0" w:rsidRPr="00007B24">
        <w:t>náhradu nákladů řízení o kasační stížnosti.</w:t>
      </w:r>
    </w:p>
    <w:p w14:paraId="3BF6B2F1" w14:textId="77777777" w:rsidR="007800C0" w:rsidRPr="00007B24" w:rsidRDefault="007800C0" w:rsidP="007800C0">
      <w:pPr>
        <w:jc w:val="both"/>
      </w:pPr>
    </w:p>
    <w:p w14:paraId="3BF6B2F2" w14:textId="77777777" w:rsidR="007800C0" w:rsidRDefault="007800C0" w:rsidP="001226B2">
      <w:pPr>
        <w:ind w:left="705" w:hanging="705"/>
        <w:jc w:val="both"/>
      </w:pPr>
      <w:r w:rsidRPr="00007B24">
        <w:rPr>
          <w:b/>
        </w:rPr>
        <w:t>III.</w:t>
      </w:r>
      <w:r w:rsidRPr="00007B24">
        <w:rPr>
          <w:b/>
        </w:rPr>
        <w:tab/>
      </w:r>
      <w:r w:rsidR="001226B2">
        <w:t>Žalovan</w:t>
      </w:r>
      <w:r w:rsidR="00A454BC">
        <w:t>é</w:t>
      </w:r>
      <w:r w:rsidR="00CD3EFA">
        <w:t xml:space="preserve"> </w:t>
      </w:r>
      <w:r w:rsidR="00CD3EFA" w:rsidRPr="00CD3EFA">
        <w:rPr>
          <w:b/>
          <w:spacing w:val="60"/>
        </w:rPr>
        <w:t>se</w:t>
      </w:r>
      <w:r w:rsidR="00CD3EFA">
        <w:t xml:space="preserve"> náhradu nákladů řízení o kasační stížnosti </w:t>
      </w:r>
      <w:r w:rsidR="00CD3EFA" w:rsidRPr="00CD3EFA">
        <w:rPr>
          <w:b/>
          <w:spacing w:val="60"/>
        </w:rPr>
        <w:t>nepřiznává</w:t>
      </w:r>
      <w:r w:rsidR="00CD3EFA">
        <w:t>.</w:t>
      </w:r>
    </w:p>
    <w:p w14:paraId="3BF6B2F3" w14:textId="77777777" w:rsidR="00CA4E2B" w:rsidRDefault="00CA4E2B" w:rsidP="001226B2">
      <w:pPr>
        <w:ind w:left="705" w:hanging="705"/>
        <w:jc w:val="both"/>
      </w:pPr>
    </w:p>
    <w:p w14:paraId="3BF6B2F4" w14:textId="77777777" w:rsidR="00CA4E2B" w:rsidRPr="00473374" w:rsidRDefault="00CA4E2B" w:rsidP="001226B2">
      <w:pPr>
        <w:ind w:left="705" w:hanging="705"/>
        <w:jc w:val="both"/>
      </w:pPr>
      <w:r w:rsidRPr="008C42B0">
        <w:rPr>
          <w:b/>
        </w:rPr>
        <w:t>IV.</w:t>
      </w:r>
      <w:r>
        <w:tab/>
        <w:t xml:space="preserve">Ustanovené zástupkyni žalobce, advokátce </w:t>
      </w:r>
      <w:r>
        <w:rPr>
          <w:rFonts w:cs="Garamond"/>
        </w:rPr>
        <w:t>JUDr. Lucii Madleňákové</w:t>
      </w:r>
      <w:r w:rsidR="008C42B0">
        <w:rPr>
          <w:rFonts w:cs="Garamond"/>
        </w:rPr>
        <w:t>, Ph.D.</w:t>
      </w:r>
      <w:r w:rsidRPr="00716F33">
        <w:rPr>
          <w:rFonts w:cs="Garamond"/>
        </w:rPr>
        <w:t>,</w:t>
      </w:r>
      <w:r>
        <w:t xml:space="preserve"> </w:t>
      </w:r>
      <w:r w:rsidRPr="008F6AFF">
        <w:rPr>
          <w:b/>
          <w:spacing w:val="60"/>
        </w:rPr>
        <w:t>se</w:t>
      </w:r>
      <w:r w:rsidR="001F2120">
        <w:rPr>
          <w:spacing w:val="60"/>
        </w:rPr>
        <w:t> </w:t>
      </w:r>
      <w:r w:rsidRPr="008F6AFF">
        <w:rPr>
          <w:b/>
          <w:spacing w:val="60"/>
        </w:rPr>
        <w:t>přiznává</w:t>
      </w:r>
      <w:r w:rsidRPr="008F6AFF">
        <w:rPr>
          <w:spacing w:val="60"/>
        </w:rPr>
        <w:t xml:space="preserve"> </w:t>
      </w:r>
      <w:r>
        <w:t>odměna za zastupování žalobce</w:t>
      </w:r>
      <w:r w:rsidRPr="008F6AFF">
        <w:t xml:space="preserve"> v řízení o kasační stížnosti v</w:t>
      </w:r>
      <w:r w:rsidR="00445330">
        <w:t> </w:t>
      </w:r>
      <w:r w:rsidRPr="008F6AFF">
        <w:t>částce</w:t>
      </w:r>
      <w:r w:rsidR="001F2120">
        <w:t xml:space="preserve"> </w:t>
      </w:r>
      <w:r w:rsidR="00445330">
        <w:rPr>
          <w:rFonts w:eastAsiaTheme="minorHAnsi" w:cs="Garamond"/>
          <w:lang w:eastAsia="en-US"/>
        </w:rPr>
        <w:t>4 114 </w:t>
      </w:r>
      <w:r w:rsidRPr="008C42B0">
        <w:t>Kč,</w:t>
      </w:r>
      <w:r w:rsidRPr="008F6AFF">
        <w:t xml:space="preserve"> která bude vyplacena z účtu Nejvyššího správního soudu ve lhůtě do 60 dnů od právní moci tohoto </w:t>
      </w:r>
      <w:r w:rsidR="00A853B3">
        <w:t>rozsudku</w:t>
      </w:r>
      <w:r w:rsidRPr="008F6AFF">
        <w:t>.</w:t>
      </w:r>
    </w:p>
    <w:p w14:paraId="3BF6B2F5" w14:textId="77777777" w:rsidR="00435164" w:rsidRPr="00F7204D" w:rsidRDefault="00435164" w:rsidP="006C6314">
      <w:pPr>
        <w:jc w:val="both"/>
        <w:rPr>
          <w:i/>
        </w:rPr>
      </w:pPr>
    </w:p>
    <w:p w14:paraId="3BF6B2F6" w14:textId="77777777" w:rsidR="0021264D" w:rsidRDefault="00435164" w:rsidP="0021264D">
      <w:pPr>
        <w:rPr>
          <w:rFonts w:cs="Garamond"/>
          <w:b/>
          <w:spacing w:val="60"/>
          <w:sz w:val="28"/>
          <w:szCs w:val="28"/>
        </w:rPr>
      </w:pPr>
      <w:r w:rsidRPr="00932286">
        <w:rPr>
          <w:rFonts w:cs="Garamond"/>
          <w:b/>
          <w:spacing w:val="60"/>
          <w:sz w:val="28"/>
          <w:szCs w:val="28"/>
        </w:rPr>
        <w:t>Odůvodnění:</w:t>
      </w:r>
    </w:p>
    <w:p w14:paraId="3BF6B2F7" w14:textId="77777777" w:rsidR="006C6314" w:rsidRDefault="006C6314" w:rsidP="00DA6C13">
      <w:pPr>
        <w:jc w:val="both"/>
      </w:pPr>
    </w:p>
    <w:p w14:paraId="3BF6B2F8" w14:textId="77777777" w:rsidR="008B666D" w:rsidRPr="006C6314" w:rsidRDefault="008B666D" w:rsidP="00DA6C13">
      <w:pPr>
        <w:jc w:val="both"/>
      </w:pPr>
    </w:p>
    <w:p w14:paraId="3BF6B2F9" w14:textId="77777777" w:rsidR="0021264D" w:rsidRPr="0021264D" w:rsidRDefault="0021264D" w:rsidP="0021264D">
      <w:pPr>
        <w:spacing w:after="240"/>
        <w:rPr>
          <w:b/>
        </w:rPr>
      </w:pPr>
      <w:r w:rsidRPr="0021264D">
        <w:rPr>
          <w:b/>
        </w:rPr>
        <w:t>I. Vymezení věci</w:t>
      </w:r>
    </w:p>
    <w:p w14:paraId="3BF6B2FA" w14:textId="77777777" w:rsidR="009B1AB0" w:rsidRDefault="006D44C9" w:rsidP="009B1AB0">
      <w:pPr>
        <w:numPr>
          <w:ilvl w:val="1"/>
          <w:numId w:val="4"/>
        </w:numPr>
        <w:tabs>
          <w:tab w:val="clear" w:pos="1440"/>
        </w:tabs>
        <w:spacing w:after="240"/>
        <w:ind w:left="0" w:firstLine="0"/>
        <w:jc w:val="both"/>
      </w:pPr>
      <w:r>
        <w:t>Krajský soud</w:t>
      </w:r>
      <w:r w:rsidR="009B1AB0">
        <w:t> </w:t>
      </w:r>
      <w:r w:rsidRPr="00B70280">
        <w:t>v</w:t>
      </w:r>
      <w:r>
        <w:t> Ostravě – pobočka v Olomouci</w:t>
      </w:r>
      <w:r w:rsidR="009B1AB0">
        <w:t xml:space="preserve"> (dále jen „krajský soud“) </w:t>
      </w:r>
      <w:r w:rsidR="006C6314">
        <w:t>usnesením ze </w:t>
      </w:r>
      <w:r w:rsidR="00373048">
        <w:t xml:space="preserve">dne </w:t>
      </w:r>
      <w:r>
        <w:t>2. 7. 2020, čj. 65 A 66/2020-38</w:t>
      </w:r>
      <w:r w:rsidR="00373048">
        <w:t xml:space="preserve"> (dále jen „napadené usnesení“), odmítl </w:t>
      </w:r>
      <w:r w:rsidR="006C6314">
        <w:t>pro opožděnost dle </w:t>
      </w:r>
      <w:r w:rsidR="009D7485">
        <w:t>§ 46 odst. 1 písm. b) s. ř. s.</w:t>
      </w:r>
      <w:r w:rsidR="00445330" w:rsidRPr="00445330">
        <w:t xml:space="preserve"> </w:t>
      </w:r>
      <w:r w:rsidR="00445330">
        <w:t>žalobu</w:t>
      </w:r>
      <w:r w:rsidR="00373048">
        <w:t xml:space="preserve">, </w:t>
      </w:r>
      <w:r w:rsidR="009D7485">
        <w:t>jíž</w:t>
      </w:r>
      <w:r w:rsidR="00373048">
        <w:t xml:space="preserve"> se žalobce domáhal ochrany př</w:t>
      </w:r>
      <w:r w:rsidR="00A454BC">
        <w:t xml:space="preserve">ed nezákonným zásahem žalované, který měl spočívat </w:t>
      </w:r>
      <w:r w:rsidR="00A454BC" w:rsidRPr="00CC301C">
        <w:rPr>
          <w:rFonts w:cs="Arial"/>
        </w:rPr>
        <w:t>v</w:t>
      </w:r>
      <w:r w:rsidR="00A454BC">
        <w:rPr>
          <w:rFonts w:cs="Arial"/>
        </w:rPr>
        <w:t xml:space="preserve"> jeho </w:t>
      </w:r>
      <w:r w:rsidR="00A454BC" w:rsidRPr="00CC301C">
        <w:rPr>
          <w:rFonts w:cs="Arial"/>
        </w:rPr>
        <w:t xml:space="preserve">přemístění </w:t>
      </w:r>
      <w:r w:rsidR="00A454BC">
        <w:rPr>
          <w:rFonts w:cs="Arial"/>
        </w:rPr>
        <w:t>z cely č. 37/3 do cely č. 3/1 ve</w:t>
      </w:r>
      <w:r w:rsidR="00A454BC" w:rsidRPr="00CC301C">
        <w:rPr>
          <w:rFonts w:cs="Arial"/>
        </w:rPr>
        <w:t> Vazební věznic</w:t>
      </w:r>
      <w:r w:rsidR="00A454BC">
        <w:rPr>
          <w:rFonts w:cs="Arial"/>
        </w:rPr>
        <w:t>i</w:t>
      </w:r>
      <w:r w:rsidR="00A454BC" w:rsidRPr="00CC301C">
        <w:rPr>
          <w:rFonts w:cs="Arial"/>
        </w:rPr>
        <w:t xml:space="preserve"> Olomouc dne 2</w:t>
      </w:r>
      <w:r w:rsidR="00A454BC">
        <w:rPr>
          <w:rFonts w:cs="Arial"/>
        </w:rPr>
        <w:t>1. </w:t>
      </w:r>
      <w:r w:rsidR="00A454BC" w:rsidRPr="00CC301C">
        <w:rPr>
          <w:rFonts w:cs="Arial"/>
        </w:rPr>
        <w:t>1. 2020</w:t>
      </w:r>
      <w:r w:rsidR="00373048">
        <w:t xml:space="preserve">, </w:t>
      </w:r>
    </w:p>
    <w:p w14:paraId="3BF6B2FB" w14:textId="77777777" w:rsidR="00A454BC" w:rsidRDefault="009B1AB0" w:rsidP="00F76352">
      <w:pPr>
        <w:numPr>
          <w:ilvl w:val="1"/>
          <w:numId w:val="4"/>
        </w:numPr>
        <w:tabs>
          <w:tab w:val="clear" w:pos="1440"/>
        </w:tabs>
        <w:spacing w:after="240"/>
        <w:ind w:left="0" w:firstLine="0"/>
        <w:jc w:val="both"/>
      </w:pPr>
      <w:r>
        <w:t xml:space="preserve">Krajský soud </w:t>
      </w:r>
      <w:r w:rsidR="00A454BC">
        <w:t>na základě tvrzených skutkových okolností konstatoval, že se jedná o zásah jednorázový a ukončený.</w:t>
      </w:r>
    </w:p>
    <w:p w14:paraId="3BF6B2FC" w14:textId="77777777" w:rsidR="009B1AB0" w:rsidRPr="003173F3" w:rsidRDefault="00A454BC" w:rsidP="00F76352">
      <w:pPr>
        <w:numPr>
          <w:ilvl w:val="1"/>
          <w:numId w:val="4"/>
        </w:numPr>
        <w:tabs>
          <w:tab w:val="clear" w:pos="1440"/>
        </w:tabs>
        <w:spacing w:after="240"/>
        <w:ind w:left="0" w:firstLine="0"/>
        <w:jc w:val="both"/>
      </w:pPr>
      <w:r>
        <w:lastRenderedPageBreak/>
        <w:t>Poté zkoumal, zda jsou splněny všechny podmínky říze</w:t>
      </w:r>
      <w:r w:rsidR="00AA0B9F">
        <w:t>ní, a dospěl k závěru, že žaloba</w:t>
      </w:r>
      <w:r>
        <w:t xml:space="preserve"> byla podána opožděně, neboť uplynula subjektivní lhůta k jejímu podání.</w:t>
      </w:r>
      <w:r w:rsidR="009B1AB0" w:rsidRPr="003173F3">
        <w:rPr>
          <w:lang w:bidi="en-US"/>
        </w:rPr>
        <w:t xml:space="preserve"> </w:t>
      </w:r>
    </w:p>
    <w:p w14:paraId="3BF6B2FD" w14:textId="77777777" w:rsidR="0021264D" w:rsidRPr="00BF70C7" w:rsidRDefault="0021264D" w:rsidP="00BF70C7">
      <w:pPr>
        <w:spacing w:after="240"/>
        <w:rPr>
          <w:b/>
        </w:rPr>
      </w:pPr>
      <w:r w:rsidRPr="00BF70C7">
        <w:rPr>
          <w:b/>
        </w:rPr>
        <w:t>II. Kasační stížnost</w:t>
      </w:r>
    </w:p>
    <w:p w14:paraId="3BF6B2FE" w14:textId="77777777" w:rsidR="004A441C" w:rsidRPr="002E088A" w:rsidRDefault="004A441C" w:rsidP="004A441C">
      <w:pPr>
        <w:numPr>
          <w:ilvl w:val="1"/>
          <w:numId w:val="4"/>
        </w:numPr>
        <w:tabs>
          <w:tab w:val="clear" w:pos="1440"/>
          <w:tab w:val="num" w:pos="644"/>
        </w:tabs>
        <w:spacing w:after="240"/>
        <w:ind w:left="0" w:firstLine="0"/>
        <w:jc w:val="both"/>
        <w:rPr>
          <w:color w:val="000000"/>
        </w:rPr>
      </w:pPr>
      <w:r>
        <w:rPr>
          <w:color w:val="000000"/>
        </w:rPr>
        <w:t>Žalo</w:t>
      </w:r>
      <w:r w:rsidR="008138B3">
        <w:rPr>
          <w:color w:val="000000"/>
        </w:rPr>
        <w:t>bce</w:t>
      </w:r>
      <w:r w:rsidRPr="00A21D44">
        <w:rPr>
          <w:color w:val="000000"/>
        </w:rPr>
        <w:t xml:space="preserve"> (dále </w:t>
      </w:r>
      <w:r>
        <w:rPr>
          <w:color w:val="000000"/>
        </w:rPr>
        <w:t>„stěžovatel</w:t>
      </w:r>
      <w:r w:rsidRPr="00A21D44">
        <w:rPr>
          <w:color w:val="000000"/>
        </w:rPr>
        <w:t xml:space="preserve">“) v kasační stížnosti </w:t>
      </w:r>
      <w:r>
        <w:rPr>
          <w:color w:val="000000"/>
        </w:rPr>
        <w:t>podané v zákonné lhůtě uplatnil</w:t>
      </w:r>
      <w:r w:rsidRPr="00A21D44">
        <w:rPr>
          <w:color w:val="000000"/>
        </w:rPr>
        <w:t xml:space="preserve"> důvod podle</w:t>
      </w:r>
      <w:r w:rsidRPr="00A21D44">
        <w:rPr>
          <w:rFonts w:cs="Garamond"/>
        </w:rPr>
        <w:t xml:space="preserve"> § 103 odst. 1 písm. </w:t>
      </w:r>
      <w:r w:rsidR="00F76352">
        <w:rPr>
          <w:rFonts w:cs="Garamond"/>
        </w:rPr>
        <w:t>e</w:t>
      </w:r>
      <w:r>
        <w:rPr>
          <w:rFonts w:cs="Garamond"/>
        </w:rPr>
        <w:t>) s. ř. s.</w:t>
      </w:r>
    </w:p>
    <w:p w14:paraId="3BF6B2FF" w14:textId="77777777" w:rsidR="00003459" w:rsidRDefault="00D156A7" w:rsidP="00842C80">
      <w:pPr>
        <w:numPr>
          <w:ilvl w:val="1"/>
          <w:numId w:val="4"/>
        </w:numPr>
        <w:tabs>
          <w:tab w:val="clear" w:pos="1440"/>
        </w:tabs>
        <w:spacing w:after="240"/>
        <w:ind w:left="0" w:firstLine="0"/>
        <w:jc w:val="both"/>
      </w:pPr>
      <w:r w:rsidRPr="00F76352">
        <w:t xml:space="preserve">Stěžovatel </w:t>
      </w:r>
      <w:r w:rsidR="00F76352" w:rsidRPr="00F76352">
        <w:t xml:space="preserve">zastává názor, že </w:t>
      </w:r>
      <w:r w:rsidR="00003459">
        <w:t>krajský soud nesprávně vyhodnotil počátek běhu subjektivní lhůty. Dne 22. 1. 2020 se stěžovatel opravdu dozvěděl o přemístění do Věznice Mírov, nicméně nedokázal jako laik vyhodnotit</w:t>
      </w:r>
      <w:r w:rsidR="009D7485">
        <w:t>, zda se má bránit proti zásahu, anebo</w:t>
      </w:r>
      <w:r w:rsidR="00003459">
        <w:t xml:space="preserve"> rozhodnutí. </w:t>
      </w:r>
      <w:r w:rsidR="00AA0B9F">
        <w:t>Proti postupu žalované podal stížnost státnímu zástupci, kterou považoval za možný prostředek nápravy. Za počátek běhu subjektivní lhůty k podání žaloby tak považuje</w:t>
      </w:r>
      <w:r w:rsidR="006C6314">
        <w:t xml:space="preserve"> den 21. 2. 2020, tedy den, kdy </w:t>
      </w:r>
      <w:r w:rsidR="00AA0B9F">
        <w:t>mu bylo doručeno sdělení Krajského státního zastupitelství v Ostravě, pobočka Olomouc, o odložení jeho podnět</w:t>
      </w:r>
      <w:r w:rsidR="009D7485">
        <w:t>ů</w:t>
      </w:r>
      <w:r w:rsidR="00AA0B9F">
        <w:t xml:space="preserve"> ze dnů</w:t>
      </w:r>
      <w:r w:rsidR="00437BE1">
        <w:t xml:space="preserve"> 19. 1. a 3. 2. 2020 směřujících proti přemístění </w:t>
      </w:r>
      <w:r w:rsidR="006C6314">
        <w:rPr>
          <w:rFonts w:cs="Arial"/>
        </w:rPr>
        <w:t>z cely č. 37/3 do </w:t>
      </w:r>
      <w:r w:rsidR="00437BE1">
        <w:rPr>
          <w:rFonts w:cs="Arial"/>
        </w:rPr>
        <w:t>cely č. 3/1 ve</w:t>
      </w:r>
      <w:r w:rsidR="00437BE1" w:rsidRPr="00CC301C">
        <w:rPr>
          <w:rFonts w:cs="Arial"/>
        </w:rPr>
        <w:t> Vazební věznic</w:t>
      </w:r>
      <w:r w:rsidR="00437BE1">
        <w:rPr>
          <w:rFonts w:cs="Arial"/>
        </w:rPr>
        <w:t>i</w:t>
      </w:r>
      <w:r w:rsidR="00437BE1" w:rsidRPr="00CC301C">
        <w:rPr>
          <w:rFonts w:cs="Arial"/>
        </w:rPr>
        <w:t xml:space="preserve"> Olomouc</w:t>
      </w:r>
      <w:r w:rsidR="00437BE1">
        <w:rPr>
          <w:rFonts w:cs="Arial"/>
        </w:rPr>
        <w:t>.</w:t>
      </w:r>
    </w:p>
    <w:p w14:paraId="3BF6B300" w14:textId="77777777" w:rsidR="00F02EA1" w:rsidRDefault="00F02EA1" w:rsidP="00E23CAC">
      <w:pPr>
        <w:numPr>
          <w:ilvl w:val="1"/>
          <w:numId w:val="4"/>
        </w:numPr>
        <w:tabs>
          <w:tab w:val="clear" w:pos="1440"/>
        </w:tabs>
        <w:spacing w:after="240"/>
        <w:ind w:left="0" w:firstLine="0"/>
        <w:jc w:val="both"/>
      </w:pPr>
      <w:r>
        <w:t>Žalo</w:t>
      </w:r>
      <w:r w:rsidR="00B767F3">
        <w:t>vaný</w:t>
      </w:r>
      <w:r>
        <w:t xml:space="preserve"> </w:t>
      </w:r>
      <w:r w:rsidR="00FC7B0D">
        <w:t>ve vyjádření uvedl, že kasační stížnost považuje za zcela nedů</w:t>
      </w:r>
      <w:r w:rsidR="00014958">
        <w:t>vodnou</w:t>
      </w:r>
      <w:r w:rsidR="009D7485">
        <w:t>,</w:t>
      </w:r>
      <w:r w:rsidR="00014958">
        <w:t xml:space="preserve"> a navrhl její zamítnutí. Subjektivní lhůta počala plynout dne nejpozději dne 23. 1. 2020, neboť stěžovatel se o svém přemístění dozvěděl dne 22. 1. 2020. Pokud měl stěžovatel pochybnosti</w:t>
      </w:r>
      <w:r w:rsidR="009D7485">
        <w:t>,</w:t>
      </w:r>
      <w:r w:rsidR="00014958">
        <w:t xml:space="preserve"> jaké prostředky využít k ochraně svých práv, mohl současně s podáním stížnosti státnímu zástupci podat žalobu proti nezákonnému zásahu.</w:t>
      </w:r>
    </w:p>
    <w:p w14:paraId="3BF6B301" w14:textId="77777777" w:rsidR="0021264D" w:rsidRPr="0021264D" w:rsidRDefault="0021264D" w:rsidP="0021264D">
      <w:pPr>
        <w:spacing w:after="240"/>
        <w:rPr>
          <w:b/>
        </w:rPr>
      </w:pPr>
      <w:r w:rsidRPr="0021264D">
        <w:rPr>
          <w:b/>
        </w:rPr>
        <w:t>III. Posouzení věci Nejvyšším správním soudem</w:t>
      </w:r>
    </w:p>
    <w:p w14:paraId="3BF6B302" w14:textId="77777777" w:rsidR="00225FCA" w:rsidRDefault="00225FCA" w:rsidP="00225FCA">
      <w:pPr>
        <w:numPr>
          <w:ilvl w:val="1"/>
          <w:numId w:val="4"/>
        </w:numPr>
        <w:tabs>
          <w:tab w:val="clear" w:pos="1440"/>
          <w:tab w:val="num" w:pos="644"/>
        </w:tabs>
        <w:spacing w:after="240"/>
        <w:ind w:left="0" w:firstLine="0"/>
        <w:jc w:val="both"/>
        <w:rPr>
          <w:rFonts w:cs="Garamond"/>
        </w:rPr>
      </w:pPr>
      <w:r w:rsidRPr="004E2424">
        <w:rPr>
          <w:rFonts w:cs="Garamond"/>
        </w:rPr>
        <w:t xml:space="preserve">Nejvyšší </w:t>
      </w:r>
      <w:r w:rsidR="00FC7B0D">
        <w:rPr>
          <w:rFonts w:cs="Garamond"/>
        </w:rPr>
        <w:t>správní soud přezkoumal napadené</w:t>
      </w:r>
      <w:r w:rsidRPr="004E2424">
        <w:rPr>
          <w:rFonts w:cs="Garamond"/>
        </w:rPr>
        <w:t xml:space="preserve"> </w:t>
      </w:r>
      <w:r w:rsidR="00FC7B0D">
        <w:rPr>
          <w:rFonts w:cs="Garamond"/>
        </w:rPr>
        <w:t>usnesení</w:t>
      </w:r>
      <w:r w:rsidRPr="004E2424">
        <w:rPr>
          <w:rFonts w:cs="Garamond"/>
        </w:rPr>
        <w:t xml:space="preserve"> v souladu s § 109 odst. 3 a 4 s. ř. s., vázán rozsahem a důvody, které uplatnil stěžovatel v podané kasační stížnosti, a přitom neshledal vady uvedené v odstavci 4, k nimž by musel přihlédnout z úřední povinnosti.</w:t>
      </w:r>
    </w:p>
    <w:p w14:paraId="3BF6B303" w14:textId="77777777" w:rsidR="002B19A3" w:rsidRDefault="00225FCA" w:rsidP="002B19A3">
      <w:pPr>
        <w:numPr>
          <w:ilvl w:val="1"/>
          <w:numId w:val="4"/>
        </w:numPr>
        <w:tabs>
          <w:tab w:val="clear" w:pos="1440"/>
          <w:tab w:val="num" w:pos="644"/>
        </w:tabs>
        <w:spacing w:after="240"/>
        <w:ind w:left="0" w:firstLine="0"/>
        <w:jc w:val="both"/>
        <w:rPr>
          <w:rFonts w:cs="Garamond"/>
        </w:rPr>
      </w:pPr>
      <w:r>
        <w:rPr>
          <w:rFonts w:eastAsiaTheme="minorHAnsi" w:cs="Garamond"/>
          <w:lang w:eastAsia="en-US"/>
        </w:rPr>
        <w:t>Kasační stížnost není důvodná.</w:t>
      </w:r>
    </w:p>
    <w:p w14:paraId="3BF6B304" w14:textId="77777777" w:rsidR="002B19A3" w:rsidRPr="002B19A3" w:rsidRDefault="00020E23" w:rsidP="002B19A3">
      <w:pPr>
        <w:numPr>
          <w:ilvl w:val="1"/>
          <w:numId w:val="4"/>
        </w:numPr>
        <w:tabs>
          <w:tab w:val="clear" w:pos="1440"/>
          <w:tab w:val="num" w:pos="644"/>
        </w:tabs>
        <w:spacing w:after="240"/>
        <w:ind w:left="0" w:firstLine="0"/>
        <w:jc w:val="both"/>
        <w:rPr>
          <w:rFonts w:cs="Garamond"/>
        </w:rPr>
      </w:pPr>
      <w:r w:rsidRPr="002B19A3">
        <w:rPr>
          <w:rFonts w:cs="Garamond"/>
        </w:rPr>
        <w:t xml:space="preserve">Nejvyšší správní soud </w:t>
      </w:r>
      <w:r w:rsidR="004249D6" w:rsidRPr="002B19A3">
        <w:rPr>
          <w:rFonts w:cs="Garamond"/>
        </w:rPr>
        <w:t xml:space="preserve">se v </w:t>
      </w:r>
      <w:r w:rsidRPr="002B19A3">
        <w:rPr>
          <w:rFonts w:cs="Garamond"/>
        </w:rPr>
        <w:t xml:space="preserve">rozsudku ze dne </w:t>
      </w:r>
      <w:r w:rsidR="006C6314">
        <w:rPr>
          <w:rFonts w:cs="Garamond"/>
        </w:rPr>
        <w:t>21. 11. 2017, čj. 7 As 155/2015 </w:t>
      </w:r>
      <w:r w:rsidR="006C6314">
        <w:rPr>
          <w:rFonts w:cs="Garamond"/>
        </w:rPr>
        <w:noBreakHyphen/>
        <w:t> </w:t>
      </w:r>
      <w:r w:rsidRPr="002B19A3">
        <w:rPr>
          <w:rFonts w:cs="Garamond"/>
        </w:rPr>
        <w:t>160</w:t>
      </w:r>
      <w:r w:rsidR="00160B3F">
        <w:rPr>
          <w:rFonts w:cs="Garamond"/>
        </w:rPr>
        <w:t>,</w:t>
      </w:r>
      <w:r w:rsidRPr="002B19A3">
        <w:rPr>
          <w:rFonts w:cs="Garamond"/>
        </w:rPr>
        <w:t xml:space="preserve"> </w:t>
      </w:r>
      <w:r w:rsidR="00160B3F">
        <w:rPr>
          <w:rFonts w:cs="Garamond"/>
        </w:rPr>
        <w:t>č. 3687/2018 Sb. NSS</w:t>
      </w:r>
      <w:r w:rsidRPr="002B19A3">
        <w:rPr>
          <w:rFonts w:cs="Garamond"/>
        </w:rPr>
        <w:t xml:space="preserve">, </w:t>
      </w:r>
      <w:r w:rsidR="004249D6" w:rsidRPr="002B19A3">
        <w:rPr>
          <w:rFonts w:cs="Garamond"/>
        </w:rPr>
        <w:t>zabýval otázkou včasnosti zásahové žaloby a dospěl k</w:t>
      </w:r>
      <w:r w:rsidR="00885E06">
        <w:rPr>
          <w:rFonts w:cs="Garamond"/>
        </w:rPr>
        <w:t xml:space="preserve"> tomuto </w:t>
      </w:r>
      <w:r w:rsidR="004249D6" w:rsidRPr="002B19A3">
        <w:rPr>
          <w:rFonts w:cs="Garamond"/>
        </w:rPr>
        <w:t>závěru</w:t>
      </w:r>
      <w:r w:rsidR="00885E06">
        <w:rPr>
          <w:rFonts w:cs="Garamond"/>
        </w:rPr>
        <w:t>:</w:t>
      </w:r>
    </w:p>
    <w:p w14:paraId="3BF6B305" w14:textId="77777777" w:rsidR="002B19A3" w:rsidRDefault="00885E06" w:rsidP="00885E06">
      <w:pPr>
        <w:jc w:val="both"/>
        <w:rPr>
          <w:i/>
        </w:rPr>
      </w:pPr>
      <w:r>
        <w:rPr>
          <w:rFonts w:cs="Garamond"/>
        </w:rPr>
        <w:t xml:space="preserve">[59] </w:t>
      </w:r>
      <w:r w:rsidRPr="00885E06">
        <w:rPr>
          <w:rFonts w:cs="Garamond"/>
          <w:i/>
        </w:rPr>
        <w:t>„Vč</w:t>
      </w:r>
      <w:r w:rsidR="004249D6" w:rsidRPr="002B19A3">
        <w:rPr>
          <w:i/>
        </w:rPr>
        <w:t xml:space="preserve">asnost </w:t>
      </w:r>
      <w:r w:rsidR="002B19A3" w:rsidRPr="002B19A3">
        <w:rPr>
          <w:i/>
        </w:rPr>
        <w:t>žaloby je jednou ze vstupních</w:t>
      </w:r>
      <w:r w:rsidR="002B19A3">
        <w:t xml:space="preserve"> </w:t>
      </w:r>
      <w:r w:rsidR="002B19A3" w:rsidRPr="00885E06">
        <w:t>(‚procesních‘</w:t>
      </w:r>
      <w:r w:rsidR="004249D6" w:rsidRPr="00885E06">
        <w:t>)</w:t>
      </w:r>
      <w:r w:rsidR="004249D6" w:rsidRPr="00116A5F">
        <w:t xml:space="preserve"> </w:t>
      </w:r>
      <w:r w:rsidR="004249D6" w:rsidRPr="002B19A3">
        <w:rPr>
          <w:i/>
        </w:rPr>
        <w:t xml:space="preserve">podmínek její věcné projednatelnosti. Krajský soud je povinen </w:t>
      </w:r>
      <w:r w:rsidR="004249D6" w:rsidRPr="002B19A3">
        <w:rPr>
          <w:i/>
          <w:u w:val="single"/>
        </w:rPr>
        <w:t>zkoumat z úřední povinnosti</w:t>
      </w:r>
      <w:r w:rsidR="004249D6" w:rsidRPr="002B19A3">
        <w:rPr>
          <w:i/>
        </w:rPr>
        <w:t xml:space="preserve"> včasnost žaloby, a pokud zjistí, že žaloba je opožděná, je povinen ji odmítnout. Již z toho je zřejmé, že posouzení včasnosti žaloby musí být opřeno o objektivní skutkové okolnosti. Jinak řečeno, bylo by jen obtížně představitelné, aby zejména objektivní žalobní lhůta mohla být ve vztahu k témuž jednání veřejné správy u různých žalobců, vůči nimž toto jednání mířilo, posuzována odlišně. Právě užitý pojem</w:t>
      </w:r>
      <w:r w:rsidR="004249D6" w:rsidRPr="00116A5F">
        <w:t xml:space="preserve"> </w:t>
      </w:r>
      <w:r w:rsidR="004249D6" w:rsidRPr="002B19A3">
        <w:t>došlo</w:t>
      </w:r>
      <w:r w:rsidR="004249D6" w:rsidRPr="00116A5F">
        <w:rPr>
          <w:i/>
        </w:rPr>
        <w:t xml:space="preserve">, </w:t>
      </w:r>
      <w:r w:rsidR="004249D6" w:rsidRPr="002B19A3">
        <w:rPr>
          <w:i/>
        </w:rPr>
        <w:t>vyjadřuje jeden časový moment nezávislý na vůli toho či onoho žalobce, jde-li</w:t>
      </w:r>
      <w:r w:rsidR="002B19A3" w:rsidRPr="002B19A3">
        <w:rPr>
          <w:i/>
        </w:rPr>
        <w:t xml:space="preserve"> o </w:t>
      </w:r>
      <w:r w:rsidR="004249D6" w:rsidRPr="002B19A3">
        <w:rPr>
          <w:i/>
        </w:rPr>
        <w:t>situaci, kdy bylo jedním aktem zasaženo zároveň více osob.</w:t>
      </w:r>
      <w:r w:rsidR="001F2120">
        <w:rPr>
          <w:i/>
        </w:rPr>
        <w:t xml:space="preserve"> </w:t>
      </w:r>
      <w:r w:rsidR="004249D6" w:rsidRPr="002B19A3">
        <w:rPr>
          <w:i/>
        </w:rPr>
        <w:t>Ani subjektivní lhůta však nemůže spočívat jen na přesvědčení žalobce, odrážejícím se v jeho žalobním tvrzení, že se o rozhodných okolnostech dozv</w:t>
      </w:r>
      <w:r w:rsidR="00D443A4">
        <w:rPr>
          <w:i/>
        </w:rPr>
        <w:t>ěděl v určitý okamžik, nýbrž na </w:t>
      </w:r>
      <w:r w:rsidR="004249D6" w:rsidRPr="002B19A3">
        <w:rPr>
          <w:i/>
        </w:rPr>
        <w:t>objektivním zjištění, které rozhodné okolnosti to jsou a kdy se dostaly do sféry žalobce.</w:t>
      </w:r>
    </w:p>
    <w:p w14:paraId="3BF6B306" w14:textId="77777777" w:rsidR="002B19A3" w:rsidRPr="002B19A3" w:rsidRDefault="002B19A3" w:rsidP="00885E06">
      <w:pPr>
        <w:jc w:val="both"/>
        <w:rPr>
          <w:i/>
        </w:rPr>
      </w:pPr>
      <w:r w:rsidRPr="002B19A3">
        <w:rPr>
          <w:i/>
        </w:rPr>
        <w:t>[60]</w:t>
      </w:r>
      <w:r w:rsidRPr="002B19A3">
        <w:rPr>
          <w:i/>
        </w:rPr>
        <w:tab/>
      </w:r>
      <w:r w:rsidR="004249D6" w:rsidRPr="002B19A3">
        <w:rPr>
          <w:i/>
        </w:rPr>
        <w:t>Je tedy zřejmé, že pro účely posouzení včasnosti žaloby si musí soud v řadě ohledů udělat jasno v tom, zda</w:t>
      </w:r>
      <w:r w:rsidR="00D443A4">
        <w:rPr>
          <w:i/>
        </w:rPr>
        <w:t> </w:t>
      </w:r>
      <w:r w:rsidR="004249D6" w:rsidRPr="002B19A3">
        <w:rPr>
          <w:i/>
        </w:rPr>
        <w:t>jednání, jež je žalobcem označováno za nezákonný zásah, se vskutku událo, a jaké jsou relevantní okolnosti, za nichž se tak stalo, tedy jakou má napadený akt povahu a čeho se týká. Dále si musí ujasnit, pokud vskutku k jednání došlo, kdy se relevantní informace o něm dostaly do sféry žalobce. Bez postavení uvedených skutečností na jisto, jen na základě pouhých tvrzení žalobce, není-li na první pohled z nich opožděnost zřetelná, nemůže soud včasnost žaloby posoudit.</w:t>
      </w:r>
    </w:p>
    <w:p w14:paraId="3BF6B307" w14:textId="77777777" w:rsidR="002B19A3" w:rsidRDefault="002B19A3" w:rsidP="00885E06">
      <w:pPr>
        <w:jc w:val="both"/>
      </w:pPr>
      <w:r w:rsidRPr="002B19A3">
        <w:t>[…]</w:t>
      </w:r>
    </w:p>
    <w:p w14:paraId="3BF6B308" w14:textId="77777777" w:rsidR="008B666D" w:rsidRPr="002B19A3" w:rsidRDefault="008B666D" w:rsidP="00885E06">
      <w:pPr>
        <w:jc w:val="both"/>
      </w:pPr>
    </w:p>
    <w:p w14:paraId="3BF6B309" w14:textId="77777777" w:rsidR="002B19A3" w:rsidRPr="002B19A3" w:rsidRDefault="002B19A3" w:rsidP="00885E06">
      <w:pPr>
        <w:jc w:val="both"/>
        <w:rPr>
          <w:i/>
        </w:rPr>
      </w:pPr>
      <w:r w:rsidRPr="002B19A3">
        <w:rPr>
          <w:i/>
        </w:rPr>
        <w:lastRenderedPageBreak/>
        <w:t>[63]</w:t>
      </w:r>
      <w:r w:rsidRPr="002B19A3">
        <w:rPr>
          <w:i/>
        </w:rPr>
        <w:tab/>
      </w:r>
      <w:r w:rsidR="004249D6" w:rsidRPr="002B19A3">
        <w:rPr>
          <w:i/>
        </w:rPr>
        <w:t xml:space="preserve">Pokud je </w:t>
      </w:r>
      <w:r w:rsidR="004249D6" w:rsidRPr="002B19A3">
        <w:rPr>
          <w:i/>
          <w:u w:val="single"/>
        </w:rPr>
        <w:t>zjevné a nepochybné, že jednání popsané v žalobě nemůže být</w:t>
      </w:r>
      <w:r w:rsidR="004249D6" w:rsidRPr="002B19A3">
        <w:rPr>
          <w:i/>
        </w:rPr>
        <w:t xml:space="preserve"> vzhledem ke své povaze, povaze je</w:t>
      </w:r>
      <w:r>
        <w:rPr>
          <w:i/>
        </w:rPr>
        <w:t xml:space="preserve">ho původce či jiným okolnostem </w:t>
      </w:r>
      <w:r w:rsidRPr="00885E06">
        <w:rPr>
          <w:u w:val="single"/>
        </w:rPr>
        <w:t>‚zásahem‘</w:t>
      </w:r>
      <w:r w:rsidR="004249D6" w:rsidRPr="002B19A3">
        <w:rPr>
          <w:i/>
        </w:rPr>
        <w:t xml:space="preserve"> ve smyslu legislativní zkratky v § 84 s. ř. s., i kdyby byla tvrzení žalobce pravdivá, musí být taková žaloba odmítnuta podle § 46 odst. 1 písm. a) s. ř. s., jelikož chybí podmínka řízení spočívající v připustitelném (plausibilním) tvrzení nezákonného zásahu. V tomto ohledu je třeba upřesnit závěry vyslovené v usnesení rozšířeného senátu ze dne 16. 12. </w:t>
      </w:r>
      <w:r w:rsidR="004249D6" w:rsidRPr="00885E06">
        <w:rPr>
          <w:i/>
        </w:rPr>
        <w:t>2008</w:t>
      </w:r>
      <w:r w:rsidR="004249D6" w:rsidRPr="002B19A3">
        <w:rPr>
          <w:i/>
        </w:rPr>
        <w:t xml:space="preserve">, č. j. 8 Aps 6/2007 – 247, č. 1773/2009 Sb. NSS. Je však třeba zdůraznit, že odmítnout žalobu z uvedeného důvodu lze </w:t>
      </w:r>
      <w:r w:rsidR="00E009E7">
        <w:rPr>
          <w:i/>
        </w:rPr>
        <w:t>jen tehdy, je-li nemožnost, aby </w:t>
      </w:r>
      <w:r w:rsidR="004249D6" w:rsidRPr="002B19A3">
        <w:rPr>
          <w:i/>
        </w:rPr>
        <w:t>v žalobě tvrzené jednání bylo nezákonným zásahem, zjevná a nepochybná. Soud zde bude přihlížet též</w:t>
      </w:r>
      <w:r w:rsidR="00E009E7">
        <w:rPr>
          <w:i/>
        </w:rPr>
        <w:t> </w:t>
      </w:r>
      <w:r w:rsidR="004249D6" w:rsidRPr="002B19A3">
        <w:rPr>
          <w:i/>
        </w:rPr>
        <w:t>k závěrům ustálené judikatury, která dále vysvětluje, které úkony veřejné správy nezákonným zásahem nejsou a nemohou být (např. jednotlivé procesní úkony správního orgánu, které směřují k vydání rozhodnutí a samy o</w:t>
      </w:r>
      <w:r w:rsidR="00E009E7">
        <w:rPr>
          <w:i/>
        </w:rPr>
        <w:t> </w:t>
      </w:r>
      <w:r w:rsidR="004249D6" w:rsidRPr="002B19A3">
        <w:rPr>
          <w:i/>
        </w:rPr>
        <w:t>sobě nepředstavují zásah do práv účastníka řízení – viz rozsudek ze dne 31</w:t>
      </w:r>
      <w:r w:rsidR="00E009E7">
        <w:rPr>
          <w:i/>
        </w:rPr>
        <w:t>. 7. 2006, č. j. 8 Aps 2/2006 </w:t>
      </w:r>
      <w:r w:rsidR="00E009E7">
        <w:rPr>
          <w:i/>
        </w:rPr>
        <w:noBreakHyphen/>
        <w:t> </w:t>
      </w:r>
      <w:r w:rsidR="004249D6" w:rsidRPr="002B19A3">
        <w:rPr>
          <w:i/>
        </w:rPr>
        <w:t xml:space="preserve">95, shodně usnesení rozšířeného senátu ze dne 16. 11. 2016, č. j. 1 Afs 183/2014 – 55, bod 42). Existuje-li rozumná pochybnost, například není-li zcela zřejmé, že jednání osoby, které je za nezákonný zásah označeno, vskutku nelze přičítat veřejné správě, je třeba zkoumat další „procesní“ podmínky věcné projednatelnosti žaloby, a pokud jsou splněny, žalobu věcně projednat. </w:t>
      </w:r>
    </w:p>
    <w:p w14:paraId="3BF6B30A" w14:textId="77777777" w:rsidR="002B19A3" w:rsidRPr="002B19A3" w:rsidRDefault="002B19A3" w:rsidP="00885E06">
      <w:pPr>
        <w:jc w:val="both"/>
        <w:rPr>
          <w:i/>
        </w:rPr>
      </w:pPr>
      <w:r w:rsidRPr="002B19A3">
        <w:rPr>
          <w:i/>
        </w:rPr>
        <w:t>[64]</w:t>
      </w:r>
      <w:r w:rsidRPr="002B19A3">
        <w:rPr>
          <w:i/>
        </w:rPr>
        <w:tab/>
      </w:r>
      <w:r w:rsidR="004249D6" w:rsidRPr="002B19A3">
        <w:rPr>
          <w:i/>
        </w:rPr>
        <w:t xml:space="preserve">Pokud nebude zásahová žaloba odmítnuta proto, že v žalobě označené jednání nemůže být již z povahy věci nezákonným zásahem, je na místě zkoumat její přípustnost dle § 85 s. ř. s., části věty před středníkem. Toto ustanovení praví: </w:t>
      </w:r>
      <w:r w:rsidR="004249D6" w:rsidRPr="00DA6979">
        <w:t>Žaloba je nepřípustná, lze-li se ochrany nebo nápravy domáhat jinými právními prostředky; to neplatí v případě, domáhá-li se žalobce pouze určení, že zásah byl nezákonný.</w:t>
      </w:r>
      <w:r w:rsidR="004249D6" w:rsidRPr="002B19A3">
        <w:rPr>
          <w:i/>
        </w:rPr>
        <w:t xml:space="preserve"> </w:t>
      </w:r>
      <w:r w:rsidR="004249D6" w:rsidRPr="00DA6979">
        <w:rPr>
          <w:i/>
          <w:u w:val="single"/>
        </w:rPr>
        <w:t>Soud si musí nejprve ujasn</w:t>
      </w:r>
      <w:r w:rsidR="00DA6979" w:rsidRPr="00DA6979">
        <w:rPr>
          <w:i/>
          <w:u w:val="single"/>
        </w:rPr>
        <w:t xml:space="preserve">it, zda projednávaná žaloba je </w:t>
      </w:r>
      <w:r w:rsidR="00DA6979" w:rsidRPr="00DA6979">
        <w:rPr>
          <w:u w:val="single"/>
        </w:rPr>
        <w:t>‚zápůrčí‘</w:t>
      </w:r>
      <w:r w:rsidR="004249D6" w:rsidRPr="00DA6979">
        <w:rPr>
          <w:i/>
          <w:u w:val="single"/>
        </w:rPr>
        <w:t>, tj. směřuje proti zásahu, který doposud neb</w:t>
      </w:r>
      <w:r w:rsidR="00DA6979" w:rsidRPr="00DA6979">
        <w:rPr>
          <w:i/>
          <w:u w:val="single"/>
        </w:rPr>
        <w:t xml:space="preserve">yl ukončen, anebo </w:t>
      </w:r>
      <w:r w:rsidR="00DA6979" w:rsidRPr="00DA6979">
        <w:rPr>
          <w:u w:val="single"/>
        </w:rPr>
        <w:t>‚určovací‘</w:t>
      </w:r>
      <w:r w:rsidR="004249D6" w:rsidRPr="00DA6979">
        <w:rPr>
          <w:i/>
          <w:u w:val="single"/>
        </w:rPr>
        <w:t>, tedy směřuje proti zásahu, k</w:t>
      </w:r>
      <w:r w:rsidR="00DA6979" w:rsidRPr="00DA6979">
        <w:rPr>
          <w:i/>
          <w:u w:val="single"/>
        </w:rPr>
        <w:t>terý již ukončen byl.</w:t>
      </w:r>
      <w:r w:rsidR="00DA6979">
        <w:rPr>
          <w:i/>
        </w:rPr>
        <w:t xml:space="preserve"> Zatímco u </w:t>
      </w:r>
      <w:r w:rsidR="004249D6" w:rsidRPr="002B19A3">
        <w:rPr>
          <w:i/>
        </w:rPr>
        <w:t>určovací žaloby nezkoumá, zda se žalobce ochrany před zásahem či jiné formy nápravy mohl domáhat jinými právními prostředky, a pokud ano, zda tak učinil, u zápůrčí žaloby takové zkoumání provést musí. Zjistí-li, že uvedené právní prostředky měl žalobce k dispozici, avšak nevyužil jich, musí být žaloba odmítnuta</w:t>
      </w:r>
      <w:r w:rsidR="00E009E7">
        <w:rPr>
          <w:i/>
        </w:rPr>
        <w:t xml:space="preserve"> podle § 46 odst. 1 písm. d) ve </w:t>
      </w:r>
      <w:r w:rsidR="004249D6" w:rsidRPr="002B19A3">
        <w:rPr>
          <w:i/>
        </w:rPr>
        <w:t>spojení s § 85 s. ř. s.</w:t>
      </w:r>
    </w:p>
    <w:p w14:paraId="3BF6B30B" w14:textId="77777777" w:rsidR="004249D6" w:rsidRPr="002B19A3" w:rsidRDefault="002B19A3" w:rsidP="00885E06">
      <w:pPr>
        <w:jc w:val="both"/>
      </w:pPr>
      <w:r w:rsidRPr="002B19A3">
        <w:rPr>
          <w:i/>
        </w:rPr>
        <w:t>[65]</w:t>
      </w:r>
      <w:r w:rsidRPr="002B19A3">
        <w:rPr>
          <w:i/>
        </w:rPr>
        <w:tab/>
      </w:r>
      <w:r w:rsidR="004249D6" w:rsidRPr="002B19A3">
        <w:rPr>
          <w:i/>
        </w:rPr>
        <w:t>Teprve není-li výše uvedených důvodů k odmítnutí žaloby, věnuje se sou</w:t>
      </w:r>
      <w:r w:rsidR="00E009E7">
        <w:rPr>
          <w:i/>
        </w:rPr>
        <w:t>d zkoumání včasnosti žaloby. Je </w:t>
      </w:r>
      <w:r w:rsidR="004249D6" w:rsidRPr="002B19A3">
        <w:rPr>
          <w:i/>
        </w:rPr>
        <w:t>důležité uvedený algoritmus dodržet a jeho jednotlivé kroky nezaměnit mimo jiné proto, že posouzení včasnosti žaloby se odvíjí i od toho, jakým způsobem byly vypořádány prostředky ochrany či nápravy, jedná-li se o zápůrčí žalobu a takové prostředky měl žalobce k dispozici, resp. byl povinen je uplatnit.</w:t>
      </w:r>
      <w:r>
        <w:t>“</w:t>
      </w:r>
    </w:p>
    <w:p w14:paraId="3BF6B30C" w14:textId="77777777" w:rsidR="002B19A3" w:rsidRPr="002B19A3" w:rsidRDefault="002B19A3" w:rsidP="002B19A3">
      <w:pPr>
        <w:ind w:left="851" w:right="567"/>
        <w:jc w:val="both"/>
        <w:rPr>
          <w:i/>
        </w:rPr>
      </w:pPr>
    </w:p>
    <w:p w14:paraId="3BF6B30D" w14:textId="77777777" w:rsidR="00BD0F6F" w:rsidRPr="00014958" w:rsidRDefault="00DA6979" w:rsidP="00014958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>
        <w:rPr>
          <w:color w:val="000000"/>
        </w:rPr>
        <w:t xml:space="preserve">Krajský soud </w:t>
      </w:r>
      <w:r w:rsidR="0067360D">
        <w:rPr>
          <w:color w:val="000000"/>
        </w:rPr>
        <w:t xml:space="preserve">mínil, že </w:t>
      </w:r>
      <w:r w:rsidR="009D7485">
        <w:rPr>
          <w:color w:val="000000"/>
        </w:rPr>
        <w:t xml:space="preserve">popsané jednání pojmově mohlo být zásahem veřejné správy vůči stěžovateli, </w:t>
      </w:r>
      <w:r w:rsidR="00014958">
        <w:rPr>
          <w:color w:val="000000"/>
        </w:rPr>
        <w:t xml:space="preserve">a </w:t>
      </w:r>
      <w:r w:rsidR="009D7485">
        <w:rPr>
          <w:color w:val="000000"/>
        </w:rPr>
        <w:t>vyhodnotil je jako zásah v době podání žaloby již ukončený</w:t>
      </w:r>
      <w:r w:rsidR="00014958">
        <w:rPr>
          <w:color w:val="000000"/>
        </w:rPr>
        <w:t>.</w:t>
      </w:r>
      <w:r w:rsidR="00014958">
        <w:rPr>
          <w:b/>
          <w:color w:val="000000"/>
        </w:rPr>
        <w:t xml:space="preserve"> </w:t>
      </w:r>
      <w:r w:rsidR="00014958">
        <w:rPr>
          <w:color w:val="000000"/>
        </w:rPr>
        <w:t xml:space="preserve">Projednával </w:t>
      </w:r>
      <w:r w:rsidR="006E36DA" w:rsidRPr="00014958">
        <w:rPr>
          <w:color w:val="000000"/>
        </w:rPr>
        <w:t>určovací zásahovou žalobu</w:t>
      </w:r>
      <w:r w:rsidR="00014958">
        <w:rPr>
          <w:color w:val="000000"/>
        </w:rPr>
        <w:t xml:space="preserve">, </w:t>
      </w:r>
      <w:r w:rsidR="0067360D">
        <w:rPr>
          <w:color w:val="000000"/>
        </w:rPr>
        <w:t xml:space="preserve">proto neměl důvod </w:t>
      </w:r>
      <w:r w:rsidR="005E22C2" w:rsidRPr="00014958">
        <w:rPr>
          <w:color w:val="000000"/>
        </w:rPr>
        <w:t xml:space="preserve">zkoumat, zda se stěžovatel </w:t>
      </w:r>
      <w:r w:rsidR="005E22C2">
        <w:t>ochrany před zásahem či </w:t>
      </w:r>
      <w:r w:rsidR="005E22C2" w:rsidRPr="005C49AD">
        <w:t>jiné formy nápravy mohl domáhat jinými právními prostředky,</w:t>
      </w:r>
      <w:r w:rsidR="005E22C2">
        <w:t xml:space="preserve"> a pokud ano, zda tak učinil</w:t>
      </w:r>
      <w:r w:rsidR="005E22C2" w:rsidRPr="00014958">
        <w:rPr>
          <w:color w:val="000000"/>
        </w:rPr>
        <w:t>.</w:t>
      </w:r>
    </w:p>
    <w:p w14:paraId="3BF6B30E" w14:textId="77777777" w:rsidR="009D7485" w:rsidRPr="009D7485" w:rsidRDefault="00BD0F6F" w:rsidP="0021264D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>
        <w:rPr>
          <w:color w:val="000000"/>
        </w:rPr>
        <w:t xml:space="preserve">Nejvyšší správní soud neshledal v popsaném postupu </w:t>
      </w:r>
      <w:r w:rsidR="00F547C9">
        <w:rPr>
          <w:color w:val="000000"/>
        </w:rPr>
        <w:t>pochybení</w:t>
      </w:r>
      <w:r w:rsidR="0067360D">
        <w:rPr>
          <w:color w:val="000000"/>
        </w:rPr>
        <w:t xml:space="preserve">. Vskutku šlo o </w:t>
      </w:r>
      <w:r w:rsidR="00014958">
        <w:rPr>
          <w:color w:val="000000"/>
        </w:rPr>
        <w:t>ukončený zásah</w:t>
      </w:r>
      <w:r>
        <w:rPr>
          <w:color w:val="000000"/>
        </w:rPr>
        <w:t xml:space="preserve">. </w:t>
      </w:r>
      <w:r w:rsidR="005E22C2">
        <w:rPr>
          <w:color w:val="000000"/>
        </w:rPr>
        <w:t xml:space="preserve">Sám stěžovatel uvedl, že k zásahu došlo </w:t>
      </w:r>
      <w:r w:rsidR="00014958">
        <w:rPr>
          <w:color w:val="000000"/>
        </w:rPr>
        <w:t xml:space="preserve">jeho přemístěním z </w:t>
      </w:r>
      <w:r w:rsidR="00014958">
        <w:rPr>
          <w:rFonts w:cs="Arial"/>
        </w:rPr>
        <w:t>cely č. 37/3 do cely č. 3/1 ve</w:t>
      </w:r>
      <w:r w:rsidR="00014958" w:rsidRPr="00CC301C">
        <w:rPr>
          <w:rFonts w:cs="Arial"/>
        </w:rPr>
        <w:t> Vazební věznic</w:t>
      </w:r>
      <w:r w:rsidR="00014958">
        <w:rPr>
          <w:rFonts w:cs="Arial"/>
        </w:rPr>
        <w:t>i</w:t>
      </w:r>
      <w:r w:rsidR="00014958" w:rsidRPr="00CC301C">
        <w:rPr>
          <w:rFonts w:cs="Arial"/>
        </w:rPr>
        <w:t xml:space="preserve"> Olomouc</w:t>
      </w:r>
      <w:r w:rsidR="000D6E0A">
        <w:rPr>
          <w:color w:val="000000"/>
        </w:rPr>
        <w:t>.</w:t>
      </w:r>
      <w:r w:rsidR="009D7485">
        <w:rPr>
          <w:color w:val="000000"/>
        </w:rPr>
        <w:t xml:space="preserve"> </w:t>
      </w:r>
      <w:r w:rsidR="009D7485">
        <w:rPr>
          <w:rFonts w:cs="Arial"/>
        </w:rPr>
        <w:t>Do cely č. 3/1 byl přemístěn dne 21. 1. 2020 odpoledne, přičemž byl nucen si sbalit všechny knihy a četné písemnosti, avšak následně se dne 22. 1. 2020 musel znovu sbalit, neboť byl dne 23. 1. 2020 přemístěn do Věznice Mírov. Do cely č. 37/3, kterou byl nucen dne 21. 1. 2020 opustit, však nebyl žádný mladistvý umístěn. Stěžovatel tedy brojil proti jednání veřejné správy spočívajícímu v</w:t>
      </w:r>
      <w:r w:rsidR="0067360D">
        <w:rPr>
          <w:rFonts w:cs="Arial"/>
        </w:rPr>
        <w:t xml:space="preserve"> jeho </w:t>
      </w:r>
      <w:r w:rsidR="009D7485">
        <w:rPr>
          <w:rFonts w:cs="Arial"/>
        </w:rPr>
        <w:t xml:space="preserve">přemístění z jedné cely do druhé. Jádrem takového jednání není „výsledek“, tedy umístění stěžovatele do jiné konkrétní cely (například horší než cela původní), nýbrž „proces“, tedy nutnost strpět, jak i stěžovatel popsal, povinnost sbalit si své věci a přesunout je z jednoho místa na jiné. </w:t>
      </w:r>
    </w:p>
    <w:p w14:paraId="3BF6B30F" w14:textId="77777777" w:rsidR="009D7485" w:rsidRPr="009D7485" w:rsidRDefault="009D7485" w:rsidP="0021264D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>
        <w:rPr>
          <w:rFonts w:cs="Arial"/>
        </w:rPr>
        <w:t xml:space="preserve">Pokud by stěžovatel brojil proti „výsledku“, například proti tomu, že cela, do níž byl nově umístěn, neumožňuje lidsky důstojné přebývání vězně, šlo by o tvrzení zásahu „trvajícího“, tedy zásahu, jenž by byl ukončen až ukončením pobytu stěžovatele na dané údajně nevhodné cele. </w:t>
      </w:r>
      <w:r w:rsidR="00A54DA4">
        <w:rPr>
          <w:rFonts w:cs="Arial"/>
        </w:rPr>
        <w:t xml:space="preserve">V podstatě by v takovém případě vězeň brojil proti jím tvrzenému vyvolání trvajícího protiprávního stavu. </w:t>
      </w:r>
      <w:r>
        <w:rPr>
          <w:rFonts w:cs="Arial"/>
        </w:rPr>
        <w:t>Subjektivní i objektivní žalobní lhůta by se odvíjela až právě od takto pojatého ukončení zásahu (tedy ukončení pobytu žalobce na údajně nevhodné cele) a každým dalším dnem, který by stěžovatel na cele strávil, by se „obnovoval“ její běh</w:t>
      </w:r>
      <w:r w:rsidR="00A54DA4">
        <w:rPr>
          <w:rFonts w:cs="Arial"/>
        </w:rPr>
        <w:t xml:space="preserve">. Lhůta k podání </w:t>
      </w:r>
      <w:r w:rsidR="00A54DA4">
        <w:rPr>
          <w:rFonts w:cs="Arial"/>
        </w:rPr>
        <w:lastRenderedPageBreak/>
        <w:t xml:space="preserve">žaloby </w:t>
      </w:r>
      <w:r w:rsidR="00A54DA4" w:rsidRPr="00A54DA4">
        <w:rPr>
          <w:rFonts w:cs="Arial"/>
        </w:rPr>
        <w:t>proti trvajícímu zásahu t</w:t>
      </w:r>
      <w:r w:rsidR="00A54DA4">
        <w:rPr>
          <w:rFonts w:cs="Arial"/>
        </w:rPr>
        <w:t xml:space="preserve">edy </w:t>
      </w:r>
      <w:r w:rsidR="00A54DA4" w:rsidRPr="00A54DA4">
        <w:rPr>
          <w:rFonts w:cs="Arial"/>
        </w:rPr>
        <w:t xml:space="preserve">nemůže uplynout, dokud tento zásah trvá </w:t>
      </w:r>
      <w:r>
        <w:rPr>
          <w:rFonts w:cs="Arial"/>
        </w:rPr>
        <w:t xml:space="preserve">(viz k tomu </w:t>
      </w:r>
      <w:r w:rsidR="00A54DA4">
        <w:rPr>
          <w:rFonts w:cs="Arial"/>
        </w:rPr>
        <w:t xml:space="preserve">nález Ústavního soudu ze dne 15. 5. 2018, sp. zn. </w:t>
      </w:r>
      <w:r w:rsidR="00A54DA4" w:rsidRPr="00A54DA4">
        <w:rPr>
          <w:rFonts w:cs="Arial"/>
        </w:rPr>
        <w:t>II.</w:t>
      </w:r>
      <w:r w:rsidR="00A54DA4">
        <w:rPr>
          <w:rFonts w:cs="Arial"/>
        </w:rPr>
        <w:t xml:space="preserve"> </w:t>
      </w:r>
      <w:r w:rsidR="00A54DA4" w:rsidRPr="00A54DA4">
        <w:rPr>
          <w:rFonts w:cs="Arial"/>
        </w:rPr>
        <w:t>ÚS 635/18</w:t>
      </w:r>
      <w:r w:rsidR="00A54DA4">
        <w:rPr>
          <w:rFonts w:cs="Arial"/>
        </w:rPr>
        <w:t>, zejm. body 32 či 36).</w:t>
      </w:r>
    </w:p>
    <w:p w14:paraId="3BF6B310" w14:textId="77777777" w:rsidR="0067360D" w:rsidRPr="0067360D" w:rsidRDefault="00A54DA4" w:rsidP="0021264D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 w:rsidRPr="00C53337">
        <w:rPr>
          <w:rFonts w:cs="Arial"/>
        </w:rPr>
        <w:t xml:space="preserve">Stěžovateli však nevadila sama o sobě nová </w:t>
      </w:r>
      <w:r w:rsidR="00445330">
        <w:rPr>
          <w:rFonts w:cs="Arial"/>
        </w:rPr>
        <w:t>c</w:t>
      </w:r>
      <w:r w:rsidRPr="00C53337">
        <w:rPr>
          <w:rFonts w:cs="Arial"/>
        </w:rPr>
        <w:t>ela, na ni</w:t>
      </w:r>
      <w:r w:rsidR="00E009E7">
        <w:rPr>
          <w:rFonts w:cs="Arial"/>
        </w:rPr>
        <w:t>ž byl přemístěn, nýbrž onen již </w:t>
      </w:r>
      <w:r w:rsidRPr="00C53337">
        <w:rPr>
          <w:rFonts w:cs="Arial"/>
        </w:rPr>
        <w:t xml:space="preserve">popsaný „proces“ přemístění, jenž byl bezpochyby ukončen </w:t>
      </w:r>
      <w:r w:rsidR="00C53337" w:rsidRPr="00C53337">
        <w:rPr>
          <w:rFonts w:cs="Arial"/>
        </w:rPr>
        <w:t xml:space="preserve">přesunem stěžovatele na novou celu </w:t>
      </w:r>
      <w:r w:rsidR="00C53337">
        <w:rPr>
          <w:rFonts w:cs="Arial"/>
        </w:rPr>
        <w:t>dne 21. 1. 2020 odpoledne</w:t>
      </w:r>
      <w:r w:rsidR="00C53337" w:rsidRPr="00C53337">
        <w:rPr>
          <w:rFonts w:cs="Arial"/>
        </w:rPr>
        <w:t xml:space="preserve">. </w:t>
      </w:r>
      <w:r w:rsidR="00F547C9" w:rsidRPr="00C53337">
        <w:rPr>
          <w:rFonts w:cs="Arial"/>
        </w:rPr>
        <w:t>Z výše uvedeného j</w:t>
      </w:r>
      <w:r w:rsidR="000D6E0A" w:rsidRPr="00C53337">
        <w:rPr>
          <w:rFonts w:cs="Arial"/>
        </w:rPr>
        <w:t>e tedy zřejmé, že k</w:t>
      </w:r>
      <w:r w:rsidR="005E22C2" w:rsidRPr="00C53337">
        <w:rPr>
          <w:rFonts w:cs="Arial"/>
        </w:rPr>
        <w:t xml:space="preserve">e </w:t>
      </w:r>
      <w:r w:rsidR="00014958" w:rsidRPr="00C53337">
        <w:rPr>
          <w:rFonts w:cs="Arial"/>
        </w:rPr>
        <w:t>dni podání žaloby, tedy ke dni 21. 4. 2020</w:t>
      </w:r>
      <w:r w:rsidR="005E22C2" w:rsidRPr="00C53337">
        <w:rPr>
          <w:rFonts w:cs="Arial"/>
        </w:rPr>
        <w:t xml:space="preserve">, subjektivní lhůta uplynula </w:t>
      </w:r>
      <w:r w:rsidR="00C53337" w:rsidRPr="00C53337">
        <w:rPr>
          <w:rFonts w:cs="Arial"/>
        </w:rPr>
        <w:t xml:space="preserve">(stalo se tak již </w:t>
      </w:r>
      <w:r w:rsidR="0067360D">
        <w:rPr>
          <w:rFonts w:cs="Arial"/>
        </w:rPr>
        <w:t>zhrub</w:t>
      </w:r>
      <w:r w:rsidR="00445330">
        <w:rPr>
          <w:rFonts w:cs="Arial"/>
        </w:rPr>
        <w:t>a</w:t>
      </w:r>
      <w:r w:rsidR="0067360D">
        <w:rPr>
          <w:rFonts w:cs="Arial"/>
        </w:rPr>
        <w:t xml:space="preserve"> o měsíc dříve</w:t>
      </w:r>
      <w:r w:rsidR="00E009E7">
        <w:rPr>
          <w:rFonts w:cs="Arial"/>
        </w:rPr>
        <w:t>, uplynutím dne 22. 3. </w:t>
      </w:r>
      <w:r w:rsidR="00C53337" w:rsidRPr="00C53337">
        <w:rPr>
          <w:rFonts w:cs="Arial"/>
        </w:rPr>
        <w:t>2020)</w:t>
      </w:r>
      <w:r w:rsidR="0067360D">
        <w:rPr>
          <w:rFonts w:cs="Arial"/>
        </w:rPr>
        <w:t>. K</w:t>
      </w:r>
      <w:r w:rsidR="005E22C2" w:rsidRPr="00C53337">
        <w:rPr>
          <w:rFonts w:cs="Arial"/>
        </w:rPr>
        <w:t xml:space="preserve">rajský soud </w:t>
      </w:r>
      <w:r w:rsidR="0067360D">
        <w:rPr>
          <w:rFonts w:cs="Arial"/>
        </w:rPr>
        <w:t>tedy žalobu</w:t>
      </w:r>
      <w:r w:rsidR="00C53337">
        <w:rPr>
          <w:rFonts w:cs="Arial"/>
        </w:rPr>
        <w:t xml:space="preserve"> zcela </w:t>
      </w:r>
      <w:r w:rsidR="00BB21CA" w:rsidRPr="00C53337">
        <w:rPr>
          <w:rFonts w:cs="Arial"/>
        </w:rPr>
        <w:t>v souladu se zákonem</w:t>
      </w:r>
      <w:r w:rsidR="00E009E7">
        <w:rPr>
          <w:rFonts w:cs="Arial"/>
        </w:rPr>
        <w:t xml:space="preserve"> odmítl pro opožděnost dle § </w:t>
      </w:r>
      <w:r w:rsidR="005E22C2" w:rsidRPr="00C53337">
        <w:rPr>
          <w:rFonts w:cs="Arial"/>
        </w:rPr>
        <w:t>46 odst. 1 písm. b) s. ř. s</w:t>
      </w:r>
      <w:r w:rsidR="00BD4A43" w:rsidRPr="00C53337">
        <w:rPr>
          <w:rFonts w:cs="Arial"/>
        </w:rPr>
        <w:t xml:space="preserve">. </w:t>
      </w:r>
    </w:p>
    <w:p w14:paraId="3BF6B311" w14:textId="77777777" w:rsidR="002B19A3" w:rsidRPr="00A940A9" w:rsidRDefault="00BD4A43" w:rsidP="0021264D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 w:rsidRPr="00C53337">
        <w:rPr>
          <w:rFonts w:cs="Arial"/>
        </w:rPr>
        <w:t xml:space="preserve">Přemístění je </w:t>
      </w:r>
      <w:r w:rsidR="0067360D">
        <w:rPr>
          <w:rFonts w:cs="Arial"/>
        </w:rPr>
        <w:t xml:space="preserve">jednání samotného stěžovatele vyvolané </w:t>
      </w:r>
      <w:r w:rsidRPr="00C53337">
        <w:rPr>
          <w:rFonts w:cs="Arial"/>
        </w:rPr>
        <w:t>faktickým úkonem</w:t>
      </w:r>
      <w:r w:rsidR="0067360D">
        <w:rPr>
          <w:rFonts w:cs="Arial"/>
        </w:rPr>
        <w:t xml:space="preserve"> příslušníka vězeňské služby (jeho pokynem stěžovateli, aby </w:t>
      </w:r>
      <w:r w:rsidR="005E3A5D">
        <w:rPr>
          <w:rFonts w:cs="Arial"/>
        </w:rPr>
        <w:t>si vzal své věci a spolu s nimi se přemístil z jedné cely do jiné). Relevantním jednáním veřejné správy je pokyn příslušníka vězeňské služby a jeho dohled nad splněním pokynu stěžovatelem.</w:t>
      </w:r>
      <w:r w:rsidR="00AB762C" w:rsidRPr="00C53337">
        <w:rPr>
          <w:rFonts w:cs="Arial"/>
        </w:rPr>
        <w:t xml:space="preserve"> Stěžovateli nebyla př</w:t>
      </w:r>
      <w:r w:rsidR="00594241">
        <w:rPr>
          <w:rFonts w:cs="Arial"/>
        </w:rPr>
        <w:t>edána žádná písemnost, která by </w:t>
      </w:r>
      <w:r w:rsidR="00AB762C" w:rsidRPr="00C53337">
        <w:rPr>
          <w:rFonts w:cs="Arial"/>
        </w:rPr>
        <w:t xml:space="preserve">mohla vzbuzovat dojem, že se jedná o rozhodnutí </w:t>
      </w:r>
      <w:r w:rsidR="005E3A5D">
        <w:rPr>
          <w:rFonts w:cs="Arial"/>
        </w:rPr>
        <w:t>dle</w:t>
      </w:r>
      <w:r w:rsidR="00AB762C" w:rsidRPr="00C53337">
        <w:rPr>
          <w:rFonts w:cs="Arial"/>
        </w:rPr>
        <w:t xml:space="preserve"> § 67 a n</w:t>
      </w:r>
      <w:r w:rsidR="005E3A5D">
        <w:rPr>
          <w:rFonts w:cs="Arial"/>
        </w:rPr>
        <w:t>ásl</w:t>
      </w:r>
      <w:r w:rsidR="00AB762C" w:rsidRPr="00C53337">
        <w:rPr>
          <w:rFonts w:cs="Arial"/>
        </w:rPr>
        <w:t>. správního řádu</w:t>
      </w:r>
      <w:r w:rsidR="005E3A5D">
        <w:rPr>
          <w:rFonts w:cs="Arial"/>
        </w:rPr>
        <w:t>.</w:t>
      </w:r>
      <w:r w:rsidR="00AB762C">
        <w:rPr>
          <w:color w:val="000000"/>
        </w:rPr>
        <w:t xml:space="preserve"> </w:t>
      </w:r>
    </w:p>
    <w:p w14:paraId="3BF6B312" w14:textId="77777777" w:rsidR="00C553BF" w:rsidRPr="00C553BF" w:rsidRDefault="00A940A9" w:rsidP="0021264D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>
        <w:rPr>
          <w:color w:val="000000"/>
        </w:rPr>
        <w:t xml:space="preserve">Neobstojí ani tvrzení stěžovatele, že nedokázal vyhodnotit, zda se má bránit proti zásahu či rozhodnutí. </w:t>
      </w:r>
      <w:r w:rsidR="00BD4A43">
        <w:t>V tomto kontextu lze doplnit též odkaz na rozsudek Nejvyššího správního soudu ze dne 29. 6. 2011, čj. 5 Aps 5/2010 – 293, z něhož vyplývá, že subjektivní lhůta pro podání zásahové žaloby běží od okamžiku, „</w:t>
      </w:r>
      <w:r w:rsidR="00BD4A43" w:rsidRPr="00BD4A43">
        <w:rPr>
          <w:i/>
        </w:rPr>
        <w:t>kdy se žalobce dozvěděl o skutečnostech, v nichž spatřuje nezákonný zásah. Rozhodující je přitom znalost žalobce o skutkových okolnostech, z nichž vyplývá konání či nekonání správního orgánu, v němž je spatřován nezákonný zásah. Okamžik, kdy žalo</w:t>
      </w:r>
      <w:r w:rsidR="00594241">
        <w:rPr>
          <w:i/>
        </w:rPr>
        <w:t>bce nabyl přesvědčení o tom, že </w:t>
      </w:r>
      <w:r w:rsidR="00BD4A43" w:rsidRPr="00BD4A43">
        <w:rPr>
          <w:i/>
        </w:rPr>
        <w:t>předmětné konání či nekonání správního orgánu naplňuje veškeré znaky ne</w:t>
      </w:r>
      <w:r w:rsidR="00594241">
        <w:rPr>
          <w:i/>
        </w:rPr>
        <w:t>zákonného zásahu definované v § </w:t>
      </w:r>
      <w:r w:rsidR="00BD4A43" w:rsidRPr="00BD4A43">
        <w:rPr>
          <w:i/>
        </w:rPr>
        <w:t>82 s. ř. s., není pro běh této lhůty rozhodný</w:t>
      </w:r>
      <w:r w:rsidR="00BD4A43">
        <w:t xml:space="preserve">.“ </w:t>
      </w:r>
    </w:p>
    <w:p w14:paraId="3BF6B313" w14:textId="77777777" w:rsidR="00C553BF" w:rsidRPr="00C553BF" w:rsidRDefault="00AD5B82" w:rsidP="0021264D">
      <w:pPr>
        <w:numPr>
          <w:ilvl w:val="1"/>
          <w:numId w:val="4"/>
        </w:numPr>
        <w:shd w:val="clear" w:color="auto" w:fill="FFFFFF"/>
        <w:tabs>
          <w:tab w:val="clear" w:pos="1440"/>
          <w:tab w:val="num" w:pos="644"/>
        </w:tabs>
        <w:spacing w:after="240"/>
        <w:ind w:left="0" w:firstLine="0"/>
        <w:jc w:val="both"/>
        <w:rPr>
          <w:b/>
          <w:color w:val="000000"/>
        </w:rPr>
      </w:pPr>
      <w:r>
        <w:t>Pokud měl stěžovatel pochyby, který žalobní typ zvolit, mohl se, jak nakonec i učinil, obrátit na soud s podáním spojeným s</w:t>
      </w:r>
      <w:r w:rsidR="00C53337">
        <w:t>e</w:t>
      </w:r>
      <w:r>
        <w:t xml:space="preserve"> žádostí o ustanovení zástupce z řad advokátů v zákonné lhůtě dvou měsíců od přemístění, v němž spatřuje nezákonný zásah do jeho práv. Soudní řád správní navíc nevylučuje současné podání </w:t>
      </w:r>
      <w:r w:rsidR="00C553BF">
        <w:t xml:space="preserve">více </w:t>
      </w:r>
      <w:r>
        <w:t>typů žalob. Stěžovatel tak mohl podat nejprve žalobu</w:t>
      </w:r>
      <w:r w:rsidR="00C553BF" w:rsidRPr="00C553BF">
        <w:t xml:space="preserve"> </w:t>
      </w:r>
      <w:r w:rsidR="00C553BF">
        <w:t>dle § 82 s. ř. s.</w:t>
      </w:r>
      <w:r>
        <w:t>, kterou by se bránil proti jím tvrzenému nezákonnému zásahu</w:t>
      </w:r>
      <w:r w:rsidR="00C553BF">
        <w:t>.</w:t>
      </w:r>
      <w:r>
        <w:t xml:space="preserve"> </w:t>
      </w:r>
      <w:r w:rsidR="00C53337">
        <w:t>P</w:t>
      </w:r>
      <w:r w:rsidR="00DB2B7E">
        <w:t>o </w:t>
      </w:r>
      <w:r>
        <w:t>případném doručení rozhodnutí</w:t>
      </w:r>
      <w:r w:rsidR="00C53337" w:rsidRPr="00C53337">
        <w:t xml:space="preserve"> </w:t>
      </w:r>
      <w:r w:rsidR="00C53337">
        <w:t>o jeho stížnosti</w:t>
      </w:r>
      <w:r>
        <w:t xml:space="preserve">, které by naplňovalo </w:t>
      </w:r>
      <w:r w:rsidR="00C53337">
        <w:t>znaky „rozhodn</w:t>
      </w:r>
      <w:r w:rsidR="00DB2B7E">
        <w:t>utí“ ve </w:t>
      </w:r>
      <w:r w:rsidR="00C53337">
        <w:t xml:space="preserve">smyslu § 65 odst. 1 s. ř. s., jak je vymezil rozšířený senát v usnesení </w:t>
      </w:r>
      <w:r w:rsidR="00DB2B7E">
        <w:t>ze dne 16. 11. 2010, čj. </w:t>
      </w:r>
      <w:r w:rsidR="00C53337" w:rsidRPr="00C53337">
        <w:t>7</w:t>
      </w:r>
      <w:r w:rsidR="00DB2B7E">
        <w:t> </w:t>
      </w:r>
      <w:r w:rsidR="00C53337" w:rsidRPr="00C53337">
        <w:t xml:space="preserve">Aps 3/2008 </w:t>
      </w:r>
      <w:r w:rsidR="00C53337">
        <w:t>–</w:t>
      </w:r>
      <w:r w:rsidR="00C53337" w:rsidRPr="00C53337">
        <w:t xml:space="preserve"> 98</w:t>
      </w:r>
      <w:r w:rsidR="00C53337">
        <w:t>, č. 2206/2011 Sb. NSS, zejm. bodech 17 a 19 (toto rozhodnutí ostatně v žalobě ve správných souvislostech zmiňuje i stěžovatel)</w:t>
      </w:r>
      <w:r>
        <w:t xml:space="preserve">, </w:t>
      </w:r>
      <w:r w:rsidR="00C553BF">
        <w:t>mohl „pro jistotu“ brojit žalobou proti rozhodnutí správního orgánu i proti vypořádání své stížnosti.</w:t>
      </w:r>
    </w:p>
    <w:p w14:paraId="3BF6B314" w14:textId="77777777" w:rsidR="0021264D" w:rsidRPr="004249D6" w:rsidRDefault="0021264D" w:rsidP="00BD0F6F">
      <w:pPr>
        <w:shd w:val="clear" w:color="auto" w:fill="FFFFFF"/>
        <w:spacing w:after="240"/>
        <w:rPr>
          <w:b/>
          <w:color w:val="000000"/>
        </w:rPr>
      </w:pPr>
      <w:r w:rsidRPr="004249D6">
        <w:rPr>
          <w:b/>
          <w:color w:val="000000"/>
        </w:rPr>
        <w:t>IV. Závěr a náklady řízení</w:t>
      </w:r>
    </w:p>
    <w:p w14:paraId="3BF6B315" w14:textId="77777777" w:rsidR="007800C0" w:rsidRPr="004E2424" w:rsidRDefault="007800C0" w:rsidP="007800C0">
      <w:pPr>
        <w:numPr>
          <w:ilvl w:val="1"/>
          <w:numId w:val="4"/>
        </w:numPr>
        <w:tabs>
          <w:tab w:val="clear" w:pos="1440"/>
          <w:tab w:val="num" w:pos="644"/>
        </w:tabs>
        <w:spacing w:after="240"/>
        <w:ind w:left="0" w:firstLine="0"/>
        <w:jc w:val="both"/>
        <w:rPr>
          <w:color w:val="000000"/>
        </w:rPr>
      </w:pPr>
      <w:r w:rsidRPr="004E2424">
        <w:rPr>
          <w:bCs/>
        </w:rPr>
        <w:t xml:space="preserve">Nejvyšší správní soud ze všech shora uvedených důvodů dospěl k závěru, že kasační stížnost není důvodná, a proto ji podle § 110 odst. 1 věta druhá s. ř. s. zamítl. </w:t>
      </w:r>
      <w:r w:rsidRPr="004E2424">
        <w:t>Ve věci rozhodl v souladu s</w:t>
      </w:r>
      <w:r w:rsidR="001F2120">
        <w:t xml:space="preserve"> </w:t>
      </w:r>
      <w:r w:rsidRPr="004E2424">
        <w:t>§ 109 odst. 2 s. ř. s., podle něhož rozhoduje Nejvyšší správní soud o kasační stížnosti zpravidla bez jednání, když neshledal důvody pro jeho nařízení.</w:t>
      </w:r>
    </w:p>
    <w:p w14:paraId="3BF6B316" w14:textId="77777777" w:rsidR="00CA4E2B" w:rsidRDefault="00E673F3" w:rsidP="00CA4E2B">
      <w:pPr>
        <w:numPr>
          <w:ilvl w:val="1"/>
          <w:numId w:val="4"/>
        </w:numPr>
        <w:tabs>
          <w:tab w:val="clear" w:pos="1440"/>
          <w:tab w:val="num" w:pos="709"/>
        </w:tabs>
        <w:spacing w:after="240"/>
        <w:ind w:left="0" w:firstLine="0"/>
        <w:jc w:val="both"/>
        <w:rPr>
          <w:color w:val="000000"/>
        </w:rPr>
      </w:pPr>
      <w:r w:rsidRPr="004E2424">
        <w:t>Výrok o náhradě nákladů řízení se opírá o § 60 odst. 1 věta první ve spojení s § 120 s. ř. s., podle kterého, nestanoví-li tento zákon jinak, má účastník, který měl ve věci plný úspěch</w:t>
      </w:r>
      <w:r w:rsidR="000501B4">
        <w:t>,</w:t>
      </w:r>
      <w:r w:rsidRPr="004E2424">
        <w:t xml:space="preserve"> právo na náhradu nákladů řízení před soudem, které důvodně vynaložil</w:t>
      </w:r>
      <w:r>
        <w:t>,</w:t>
      </w:r>
      <w:r w:rsidRPr="004E2424">
        <w:t xml:space="preserve"> proti účastníkovi, který ve věci úspěch neměl. Stěžovatel nebyl v řízení o kasační stížnosti úspěšný, proto nemá právo na náhradu nákladů řízení. Žalovanému, jemuž by jinak právo na náhradu nákladů řízení o kasační stížnosti příslušelo, soud náhradu nákladů řízení nepřiznal, neboť mu v řízení o kasační stížnosti žádné náklady nad rámec běžné úřední činnosti nevznikly.</w:t>
      </w:r>
    </w:p>
    <w:p w14:paraId="3BF6B317" w14:textId="77777777" w:rsidR="00CA4E2B" w:rsidRPr="00A940A9" w:rsidRDefault="00CA4E2B" w:rsidP="00A940A9">
      <w:pPr>
        <w:numPr>
          <w:ilvl w:val="1"/>
          <w:numId w:val="4"/>
        </w:numPr>
        <w:tabs>
          <w:tab w:val="clear" w:pos="1440"/>
          <w:tab w:val="num" w:pos="709"/>
        </w:tabs>
        <w:spacing w:after="240"/>
        <w:ind w:left="0" w:firstLine="0"/>
        <w:jc w:val="both"/>
        <w:rPr>
          <w:color w:val="000000"/>
        </w:rPr>
      </w:pPr>
      <w:r w:rsidRPr="00CA4E2B">
        <w:rPr>
          <w:color w:val="000000"/>
        </w:rPr>
        <w:lastRenderedPageBreak/>
        <w:t>Stěžovateli byl</w:t>
      </w:r>
      <w:r>
        <w:rPr>
          <w:color w:val="000000"/>
        </w:rPr>
        <w:t>a</w:t>
      </w:r>
      <w:r w:rsidRPr="00CA4E2B">
        <w:rPr>
          <w:color w:val="000000"/>
        </w:rPr>
        <w:t xml:space="preserve"> usnesením </w:t>
      </w:r>
      <w:r>
        <w:rPr>
          <w:color w:val="000000"/>
        </w:rPr>
        <w:t xml:space="preserve">Krajského soudu v Ostravě </w:t>
      </w:r>
      <w:r w:rsidR="00DB2B7E">
        <w:rPr>
          <w:color w:val="000000"/>
        </w:rPr>
        <w:t>– pobočka v Olomouci ze dne 30. </w:t>
      </w:r>
      <w:r>
        <w:rPr>
          <w:color w:val="000000"/>
        </w:rPr>
        <w:t>4.</w:t>
      </w:r>
      <w:r w:rsidR="00DB2B7E">
        <w:rPr>
          <w:color w:val="000000"/>
        </w:rPr>
        <w:t> </w:t>
      </w:r>
      <w:r>
        <w:rPr>
          <w:color w:val="000000"/>
        </w:rPr>
        <w:t>2020, č</w:t>
      </w:r>
      <w:r w:rsidRPr="00CA4E2B">
        <w:rPr>
          <w:color w:val="000000"/>
        </w:rPr>
        <w:t xml:space="preserve">j. </w:t>
      </w:r>
      <w:r w:rsidR="00DB2B7E">
        <w:rPr>
          <w:color w:val="000000"/>
        </w:rPr>
        <w:t>65 Na 6/2020 </w:t>
      </w:r>
      <w:r w:rsidR="00DB2B7E">
        <w:rPr>
          <w:color w:val="000000"/>
        </w:rPr>
        <w:noBreakHyphen/>
        <w:t> </w:t>
      </w:r>
      <w:r>
        <w:rPr>
          <w:color w:val="000000"/>
        </w:rPr>
        <w:t>4</w:t>
      </w:r>
      <w:r w:rsidRPr="00CA4E2B">
        <w:rPr>
          <w:color w:val="000000"/>
        </w:rPr>
        <w:t>, ustanoven</w:t>
      </w:r>
      <w:r>
        <w:rPr>
          <w:color w:val="000000"/>
        </w:rPr>
        <w:t>a zástupkyn</w:t>
      </w:r>
      <w:r w:rsidR="008C42B0">
        <w:rPr>
          <w:color w:val="000000"/>
        </w:rPr>
        <w:t>ě</w:t>
      </w:r>
      <w:r w:rsidRPr="00CA4E2B">
        <w:rPr>
          <w:color w:val="000000"/>
        </w:rPr>
        <w:t xml:space="preserve"> </w:t>
      </w:r>
      <w:r>
        <w:rPr>
          <w:color w:val="000000"/>
        </w:rPr>
        <w:t>JUDr. Luci</w:t>
      </w:r>
      <w:r w:rsidR="00C553BF">
        <w:rPr>
          <w:color w:val="000000"/>
        </w:rPr>
        <w:t>a</w:t>
      </w:r>
      <w:r>
        <w:rPr>
          <w:color w:val="000000"/>
        </w:rPr>
        <w:t xml:space="preserve"> Madleňáková</w:t>
      </w:r>
      <w:r w:rsidR="008C42B0">
        <w:rPr>
          <w:color w:val="000000"/>
        </w:rPr>
        <w:t>, Ph.D.</w:t>
      </w:r>
      <w:r w:rsidRPr="00CA4E2B">
        <w:rPr>
          <w:color w:val="000000"/>
        </w:rPr>
        <w:t>, advokát</w:t>
      </w:r>
      <w:r>
        <w:rPr>
          <w:color w:val="000000"/>
        </w:rPr>
        <w:t>ka</w:t>
      </w:r>
      <w:r w:rsidRPr="00CA4E2B">
        <w:rPr>
          <w:color w:val="000000"/>
        </w:rPr>
        <w:t xml:space="preserve"> se sídlem </w:t>
      </w:r>
      <w:r>
        <w:rPr>
          <w:color w:val="000000"/>
        </w:rPr>
        <w:t>Nádražní 381/9, Mohelnice</w:t>
      </w:r>
      <w:r w:rsidRPr="00CA4E2B">
        <w:rPr>
          <w:color w:val="000000"/>
        </w:rPr>
        <w:t>. V takové</w:t>
      </w:r>
      <w:r w:rsidR="00DB2B7E">
        <w:rPr>
          <w:color w:val="000000"/>
        </w:rPr>
        <w:t>m případě platí hotové výdaje a </w:t>
      </w:r>
      <w:r w:rsidRPr="00CA4E2B">
        <w:rPr>
          <w:color w:val="000000"/>
        </w:rPr>
        <w:t>odměnu za zastupování stát (§ 35 odst. 9 s. ř. s. ve spojení s § 120 s. ř. s.). Nejvyšší spr</w:t>
      </w:r>
      <w:r>
        <w:rPr>
          <w:color w:val="000000"/>
        </w:rPr>
        <w:t>ávní soud určil odměnu advokátky částkou 3 1</w:t>
      </w:r>
      <w:r w:rsidRPr="00CA4E2B">
        <w:rPr>
          <w:color w:val="000000"/>
        </w:rPr>
        <w:t xml:space="preserve">00 Kč za </w:t>
      </w:r>
      <w:r>
        <w:rPr>
          <w:color w:val="000000"/>
        </w:rPr>
        <w:t>jeden</w:t>
      </w:r>
      <w:r w:rsidRPr="00CA4E2B">
        <w:rPr>
          <w:color w:val="000000"/>
        </w:rPr>
        <w:t xml:space="preserve"> úkon právní služby (tj. podání kasační stížnosti</w:t>
      </w:r>
      <w:r>
        <w:rPr>
          <w:color w:val="000000"/>
        </w:rPr>
        <w:t>) a dále</w:t>
      </w:r>
      <w:r w:rsidRPr="00CA4E2B">
        <w:rPr>
          <w:color w:val="000000"/>
        </w:rPr>
        <w:t xml:space="preserve"> 300 Kč jako paušální náhradu hotových výdajů v souladu s § 7, § 9 odst. 4 písm. d), § 11 odst. 1 písm. d) a § 13 odst. 4 vyhlášky č. 177/</w:t>
      </w:r>
      <w:r w:rsidR="00DB2B7E">
        <w:rPr>
          <w:color w:val="000000"/>
        </w:rPr>
        <w:t>1996 Sb., o odměnách advokátů a </w:t>
      </w:r>
      <w:r w:rsidRPr="00CA4E2B">
        <w:rPr>
          <w:color w:val="000000"/>
        </w:rPr>
        <w:t>náhradách advokátů za poskytování právních služeb (advokátní tarif), ve znění pozd</w:t>
      </w:r>
      <w:r>
        <w:rPr>
          <w:color w:val="000000"/>
        </w:rPr>
        <w:t>ějších předpisů, celkem tedy 3 4</w:t>
      </w:r>
      <w:r w:rsidRPr="00CA4E2B">
        <w:rPr>
          <w:color w:val="000000"/>
        </w:rPr>
        <w:t xml:space="preserve">00 Kč. </w:t>
      </w:r>
      <w:r w:rsidRPr="00CA4E2B">
        <w:rPr>
          <w:bCs/>
          <w:iCs/>
        </w:rPr>
        <w:t>Protože advokát</w:t>
      </w:r>
      <w:r w:rsidR="008C42B0">
        <w:rPr>
          <w:bCs/>
          <w:iCs/>
        </w:rPr>
        <w:t>ka</w:t>
      </w:r>
      <w:r w:rsidRPr="00CA4E2B">
        <w:rPr>
          <w:bCs/>
          <w:iCs/>
        </w:rPr>
        <w:t xml:space="preserve"> je plátcem daně z přidané ho</w:t>
      </w:r>
      <w:r w:rsidR="008C42B0">
        <w:rPr>
          <w:bCs/>
          <w:iCs/>
        </w:rPr>
        <w:t>dnoty, zvyšuje se její odměna o </w:t>
      </w:r>
      <w:r w:rsidRPr="00CA4E2B">
        <w:rPr>
          <w:bCs/>
          <w:iCs/>
        </w:rPr>
        <w:t>částku odpovídající této dani, kterou je</w:t>
      </w:r>
      <w:r w:rsidR="00DB2B7E">
        <w:rPr>
          <w:bCs/>
          <w:iCs/>
        </w:rPr>
        <w:t xml:space="preserve"> povinna odvést podle zákona č. </w:t>
      </w:r>
      <w:r w:rsidRPr="00CA4E2B">
        <w:rPr>
          <w:bCs/>
          <w:iCs/>
        </w:rPr>
        <w:t xml:space="preserve">235/2004 Sb., o dani z přidané hodnoty, ve znění pozdějších předpisů, tj. o </w:t>
      </w:r>
      <w:r w:rsidR="008C42B0">
        <w:rPr>
          <w:bCs/>
          <w:iCs/>
        </w:rPr>
        <w:t>714</w:t>
      </w:r>
      <w:r w:rsidRPr="00CA4E2B">
        <w:rPr>
          <w:bCs/>
          <w:iCs/>
        </w:rPr>
        <w:t xml:space="preserve"> Kč. </w:t>
      </w:r>
      <w:r w:rsidR="008C42B0">
        <w:t>Celková částka odměny tak činí 4 114</w:t>
      </w:r>
      <w:r w:rsidRPr="00FE76C3">
        <w:t xml:space="preserve"> Kč. Tato </w:t>
      </w:r>
      <w:r w:rsidRPr="00CA4E2B">
        <w:rPr>
          <w:rFonts w:cs="TimesNewRoman"/>
        </w:rPr>
        <w:t xml:space="preserve">částka </w:t>
      </w:r>
      <w:r w:rsidR="008C42B0">
        <w:t>jí</w:t>
      </w:r>
      <w:r w:rsidRPr="00FE76C3">
        <w:t xml:space="preserve"> bude vyplacena z </w:t>
      </w:r>
      <w:r w:rsidRPr="00CA4E2B">
        <w:rPr>
          <w:rFonts w:cs="TimesNewRoman"/>
        </w:rPr>
        <w:t xml:space="preserve">účtu Nejvyššího správního soudu do 60 dnů od právní </w:t>
      </w:r>
      <w:r w:rsidRPr="00FE76C3">
        <w:t>moci tohoto rozhodnutí.</w:t>
      </w:r>
    </w:p>
    <w:p w14:paraId="3BF6B318" w14:textId="77777777" w:rsidR="001F2120" w:rsidRDefault="001F2120" w:rsidP="00435164">
      <w:pPr>
        <w:pStyle w:val="mmstd"/>
        <w:spacing w:before="0" w:after="0" w:line="240" w:lineRule="auto"/>
        <w:ind w:firstLine="0"/>
        <w:rPr>
          <w:b/>
          <w:spacing w:val="60"/>
          <w:sz w:val="24"/>
          <w:szCs w:val="24"/>
        </w:rPr>
      </w:pPr>
    </w:p>
    <w:p w14:paraId="3BF6B319" w14:textId="77777777" w:rsidR="00435164" w:rsidRPr="00F7204D" w:rsidRDefault="00435164" w:rsidP="00435164">
      <w:pPr>
        <w:pStyle w:val="mmstd"/>
        <w:spacing w:before="0" w:after="0" w:line="240" w:lineRule="auto"/>
        <w:ind w:firstLine="0"/>
        <w:rPr>
          <w:sz w:val="24"/>
          <w:szCs w:val="24"/>
        </w:rPr>
      </w:pPr>
      <w:r w:rsidRPr="00F7204D">
        <w:rPr>
          <w:b/>
          <w:spacing w:val="60"/>
          <w:sz w:val="24"/>
          <w:szCs w:val="24"/>
        </w:rPr>
        <w:t>Poučení:</w:t>
      </w:r>
      <w:r w:rsidR="001F2120">
        <w:rPr>
          <w:sz w:val="24"/>
          <w:szCs w:val="24"/>
        </w:rPr>
        <w:t xml:space="preserve"> </w:t>
      </w:r>
      <w:r w:rsidRPr="00F7204D">
        <w:rPr>
          <w:sz w:val="24"/>
          <w:szCs w:val="24"/>
        </w:rPr>
        <w:t>Proti tomuto rozsudku</w:t>
      </w:r>
      <w:r w:rsidR="001F2120">
        <w:rPr>
          <w:sz w:val="24"/>
          <w:szCs w:val="24"/>
        </w:rPr>
        <w:t xml:space="preserve"> </w:t>
      </w:r>
      <w:r w:rsidRPr="00F7204D">
        <w:rPr>
          <w:b/>
          <w:spacing w:val="60"/>
          <w:sz w:val="24"/>
          <w:szCs w:val="24"/>
        </w:rPr>
        <w:t>nejsou</w:t>
      </w:r>
      <w:r w:rsidRPr="00F7204D">
        <w:rPr>
          <w:sz w:val="24"/>
          <w:szCs w:val="24"/>
        </w:rPr>
        <w:t xml:space="preserve"> opravné prostředky přípustné.</w:t>
      </w:r>
    </w:p>
    <w:p w14:paraId="3BF6B31A" w14:textId="77777777" w:rsidR="00435164" w:rsidRPr="00F7204D" w:rsidRDefault="00435164" w:rsidP="00435164">
      <w:pPr>
        <w:rPr>
          <w:b/>
        </w:rPr>
      </w:pPr>
    </w:p>
    <w:p w14:paraId="3BF6B31B" w14:textId="77777777" w:rsidR="00435164" w:rsidRPr="00F7204D" w:rsidRDefault="00435164" w:rsidP="00435164"/>
    <w:p w14:paraId="3BF6B31C" w14:textId="77777777" w:rsidR="00435164" w:rsidRDefault="00435164" w:rsidP="001F2120">
      <w:r w:rsidRPr="00F7204D">
        <w:t xml:space="preserve">V Brně </w:t>
      </w:r>
      <w:r w:rsidR="001F2120">
        <w:t>dne 22. září 2020</w:t>
      </w:r>
    </w:p>
    <w:p w14:paraId="3BF6B31D" w14:textId="77777777" w:rsidR="001F2120" w:rsidRDefault="001F2120" w:rsidP="001F2120">
      <w:pPr>
        <w:jc w:val="both"/>
      </w:pPr>
    </w:p>
    <w:p w14:paraId="3BF6B31E" w14:textId="77777777" w:rsidR="001F2120" w:rsidRPr="00F7204D" w:rsidRDefault="001F2120" w:rsidP="001F2120">
      <w:pPr>
        <w:jc w:val="both"/>
      </w:pPr>
    </w:p>
    <w:p w14:paraId="3BF6B31F" w14:textId="77777777" w:rsidR="00C52D88" w:rsidRPr="00090068" w:rsidRDefault="005B7254" w:rsidP="005110E9">
      <w:pPr>
        <w:ind w:left="6804"/>
      </w:pPr>
      <w:r>
        <w:t>JUDr. Karel Šimka</w:t>
      </w:r>
    </w:p>
    <w:p w14:paraId="3BF6B320" w14:textId="77777777" w:rsidR="00C152ED" w:rsidRDefault="002944FB" w:rsidP="005110E9">
      <w:pPr>
        <w:ind w:left="7080"/>
        <w:jc w:val="both"/>
      </w:pPr>
      <w:r>
        <w:t xml:space="preserve">  </w:t>
      </w:r>
      <w:r w:rsidR="00DB2B7E">
        <w:t>p</w:t>
      </w:r>
      <w:r w:rsidR="00C52D88" w:rsidRPr="00090068">
        <w:t>ředseda senátu</w:t>
      </w:r>
    </w:p>
    <w:p w14:paraId="3BF6B321" w14:textId="77777777" w:rsidR="005110E9" w:rsidRDefault="005110E9" w:rsidP="005110E9">
      <w:pPr>
        <w:jc w:val="both"/>
      </w:pPr>
    </w:p>
    <w:sectPr w:rsidR="005110E9" w:rsidSect="00E76828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6B326" w14:textId="77777777" w:rsidR="0067360D" w:rsidRDefault="0067360D" w:rsidP="00435164">
      <w:r>
        <w:separator/>
      </w:r>
    </w:p>
  </w:endnote>
  <w:endnote w:type="continuationSeparator" w:id="0">
    <w:p w14:paraId="3BF6B327" w14:textId="77777777" w:rsidR="0067360D" w:rsidRDefault="0067360D" w:rsidP="0043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B324" w14:textId="77777777" w:rsidR="0067360D" w:rsidRDefault="0067360D" w:rsidP="00435164">
      <w:r>
        <w:separator/>
      </w:r>
    </w:p>
  </w:footnote>
  <w:footnote w:type="continuationSeparator" w:id="0">
    <w:p w14:paraId="3BF6B325" w14:textId="77777777" w:rsidR="0067360D" w:rsidRDefault="0067360D" w:rsidP="00435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6B328" w14:textId="77777777" w:rsidR="00E76828" w:rsidRDefault="00E76828" w:rsidP="00E76828">
    <w:pPr>
      <w:pStyle w:val="Zhlav"/>
      <w:jc w:val="right"/>
    </w:pPr>
    <w:r>
      <w:rPr>
        <w:rFonts w:ascii="Garamond" w:hAnsi="Garamond"/>
      </w:rPr>
      <w:t>2 As 263/2020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6B329" w14:textId="77777777" w:rsidR="00E76828" w:rsidRPr="00E76828" w:rsidRDefault="00E76828" w:rsidP="00E76828">
    <w:pPr>
      <w:pStyle w:val="Zhlav"/>
      <w:jc w:val="both"/>
      <w:rPr>
        <w:rFonts w:ascii="Garamond" w:hAnsi="Garamond"/>
        <w:u w:val="single"/>
      </w:rPr>
    </w:pPr>
    <w:r>
      <w:rPr>
        <w:rFonts w:ascii="Garamond" w:hAnsi="Garamond"/>
      </w:rPr>
      <w:t>pokračování</w:t>
    </w:r>
    <w:r>
      <w:rPr>
        <w:rFonts w:ascii="Garamond" w:hAnsi="Garamond"/>
      </w:rPr>
      <w:tab/>
    </w:r>
    <w:r>
      <w:rPr>
        <w:rFonts w:ascii="Garamond" w:hAnsi="Garamond"/>
      </w:rPr>
      <w:tab/>
    </w:r>
    <w:r w:rsidRPr="00E76828">
      <w:rPr>
        <w:rFonts w:ascii="Garamond" w:hAnsi="Garamond"/>
      </w:rPr>
      <w:t xml:space="preserve">2 As 263/2020 - </w:t>
    </w:r>
    <w:r w:rsidR="00151897" w:rsidRPr="00E76828">
      <w:rPr>
        <w:rFonts w:ascii="Garamond" w:hAnsi="Garamond"/>
      </w:rPr>
      <w:fldChar w:fldCharType="begin"/>
    </w:r>
    <w:r w:rsidRPr="00E76828">
      <w:rPr>
        <w:rFonts w:ascii="Garamond" w:hAnsi="Garamond"/>
      </w:rPr>
      <w:instrText xml:space="preserve"> =   22 + INT ((</w:instrText>
    </w:r>
    <w:r w:rsidR="00151897" w:rsidRPr="00E76828">
      <w:rPr>
        <w:rFonts w:ascii="Garamond" w:hAnsi="Garamond"/>
      </w:rPr>
      <w:fldChar w:fldCharType="begin"/>
    </w:r>
    <w:r w:rsidRPr="00E76828">
      <w:rPr>
        <w:rFonts w:ascii="Garamond" w:hAnsi="Garamond"/>
      </w:rPr>
      <w:instrText xml:space="preserve"> PAGE</w:instrText>
    </w:r>
    <w:r w:rsidR="00151897" w:rsidRPr="00E76828">
      <w:rPr>
        <w:rFonts w:ascii="Garamond" w:hAnsi="Garamond"/>
      </w:rPr>
      <w:fldChar w:fldCharType="separate"/>
    </w:r>
    <w:r w:rsidR="00247F63">
      <w:rPr>
        <w:rFonts w:ascii="Garamond" w:hAnsi="Garamond"/>
        <w:noProof/>
      </w:rPr>
      <w:instrText>3</w:instrText>
    </w:r>
    <w:r w:rsidR="00151897" w:rsidRPr="00E76828">
      <w:rPr>
        <w:rFonts w:ascii="Garamond" w:hAnsi="Garamond"/>
      </w:rPr>
      <w:fldChar w:fldCharType="end"/>
    </w:r>
    <w:r w:rsidRPr="00E76828">
      <w:rPr>
        <w:rFonts w:ascii="Garamond" w:hAnsi="Garamond"/>
      </w:rPr>
      <w:instrText xml:space="preserve">+1)/2)-1 </w:instrText>
    </w:r>
    <w:r w:rsidR="00151897" w:rsidRPr="00E76828">
      <w:rPr>
        <w:rFonts w:ascii="Garamond" w:hAnsi="Garamond"/>
      </w:rPr>
      <w:fldChar w:fldCharType="separate"/>
    </w:r>
    <w:r w:rsidR="00247F63">
      <w:rPr>
        <w:rFonts w:ascii="Garamond" w:hAnsi="Garamond"/>
        <w:noProof/>
      </w:rPr>
      <w:t>23</w:t>
    </w:r>
    <w:r w:rsidR="00151897" w:rsidRPr="00E76828">
      <w:rPr>
        <w:rFonts w:ascii="Garamond" w:hAnsi="Garamond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6B32A" w14:textId="77777777" w:rsidR="00E76828" w:rsidRPr="00E76828" w:rsidRDefault="00E76828" w:rsidP="00E76828">
    <w:pPr>
      <w:pStyle w:val="Zhlav"/>
      <w:ind w:left="1080"/>
      <w:jc w:val="right"/>
      <w:rPr>
        <w:rFonts w:ascii="Garamond" w:hAnsi="Garamond"/>
        <w:u w:val="single"/>
      </w:rPr>
    </w:pPr>
    <w:r w:rsidRPr="00E76828">
      <w:rPr>
        <w:rFonts w:ascii="Garamond" w:hAnsi="Garamond"/>
      </w:rPr>
      <w:t xml:space="preserve">2 As 263/2020 - </w:t>
    </w:r>
    <w:r w:rsidR="00151897" w:rsidRPr="00E76828">
      <w:rPr>
        <w:rFonts w:ascii="Garamond" w:hAnsi="Garamond"/>
      </w:rPr>
      <w:fldChar w:fldCharType="begin"/>
    </w:r>
    <w:r w:rsidRPr="00E76828">
      <w:rPr>
        <w:rFonts w:ascii="Garamond" w:hAnsi="Garamond"/>
      </w:rPr>
      <w:instrText xml:space="preserve"> =   22 + INT ((</w:instrText>
    </w:r>
    <w:r w:rsidR="00151897" w:rsidRPr="00E76828">
      <w:rPr>
        <w:rFonts w:ascii="Garamond" w:hAnsi="Garamond"/>
      </w:rPr>
      <w:fldChar w:fldCharType="begin"/>
    </w:r>
    <w:r w:rsidRPr="00E76828">
      <w:rPr>
        <w:rFonts w:ascii="Garamond" w:hAnsi="Garamond"/>
      </w:rPr>
      <w:instrText xml:space="preserve"> PAGE</w:instrText>
    </w:r>
    <w:r w:rsidR="00151897" w:rsidRPr="00E76828">
      <w:rPr>
        <w:rFonts w:ascii="Garamond" w:hAnsi="Garamond"/>
      </w:rPr>
      <w:fldChar w:fldCharType="separate"/>
    </w:r>
    <w:r w:rsidR="00247F63">
      <w:rPr>
        <w:rFonts w:ascii="Garamond" w:hAnsi="Garamond"/>
        <w:noProof/>
      </w:rPr>
      <w:instrText>1</w:instrText>
    </w:r>
    <w:r w:rsidR="00151897" w:rsidRPr="00E76828">
      <w:rPr>
        <w:rFonts w:ascii="Garamond" w:hAnsi="Garamond"/>
      </w:rPr>
      <w:fldChar w:fldCharType="end"/>
    </w:r>
    <w:r w:rsidRPr="00E76828">
      <w:rPr>
        <w:rFonts w:ascii="Garamond" w:hAnsi="Garamond"/>
      </w:rPr>
      <w:instrText xml:space="preserve">+1)/2)-1 </w:instrText>
    </w:r>
    <w:r w:rsidR="00151897" w:rsidRPr="00E76828">
      <w:rPr>
        <w:rFonts w:ascii="Garamond" w:hAnsi="Garamond"/>
      </w:rPr>
      <w:fldChar w:fldCharType="separate"/>
    </w:r>
    <w:r w:rsidR="00247F63">
      <w:rPr>
        <w:rFonts w:ascii="Garamond" w:hAnsi="Garamond"/>
        <w:noProof/>
      </w:rPr>
      <w:t>22</w:t>
    </w:r>
    <w:r w:rsidR="00151897" w:rsidRPr="00E76828">
      <w:rPr>
        <w:rFonts w:ascii="Garamond" w:hAnsi="Garamond"/>
      </w:rPr>
      <w:fldChar w:fldCharType="end"/>
    </w:r>
  </w:p>
  <w:p w14:paraId="3BF6B32B" w14:textId="77777777" w:rsidR="00E76828" w:rsidRDefault="00E768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B00"/>
    <w:multiLevelType w:val="hybridMultilevel"/>
    <w:tmpl w:val="A3628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6D623C8">
      <w:start w:val="1"/>
      <w:numFmt w:val="decimal"/>
      <w:pStyle w:val="Zkladnsslovnm"/>
      <w:lvlText w:val="[%2]"/>
      <w:lvlJc w:val="left"/>
      <w:pPr>
        <w:ind w:left="1440" w:hanging="360"/>
      </w:pPr>
      <w:rPr>
        <w:rFonts w:hint="default"/>
        <w:b w:val="0"/>
        <w:i w:val="0"/>
      </w:rPr>
    </w:lvl>
    <w:lvl w:ilvl="2" w:tplc="CF96542C">
      <w:start w:val="5"/>
      <w:numFmt w:val="bullet"/>
      <w:lvlText w:val=""/>
      <w:lvlJc w:val="left"/>
      <w:pPr>
        <w:ind w:left="2985" w:hanging="1005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5A3D"/>
    <w:multiLevelType w:val="hybridMultilevel"/>
    <w:tmpl w:val="FD1258D4"/>
    <w:lvl w:ilvl="0" w:tplc="162029BA">
      <w:start w:val="1"/>
      <w:numFmt w:val="decimal"/>
      <w:lvlText w:val="[%1]"/>
      <w:lvlJc w:val="left"/>
      <w:pPr>
        <w:tabs>
          <w:tab w:val="num" w:pos="3187"/>
        </w:tabs>
        <w:ind w:left="3199" w:hanging="363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847" w:hanging="360"/>
      </w:pPr>
    </w:lvl>
    <w:lvl w:ilvl="2" w:tplc="0405001B" w:tentative="1">
      <w:start w:val="1"/>
      <w:numFmt w:val="lowerRoman"/>
      <w:lvlText w:val="%3."/>
      <w:lvlJc w:val="right"/>
      <w:pPr>
        <w:ind w:left="3567" w:hanging="180"/>
      </w:pPr>
    </w:lvl>
    <w:lvl w:ilvl="3" w:tplc="0405000F" w:tentative="1">
      <w:start w:val="1"/>
      <w:numFmt w:val="decimal"/>
      <w:lvlText w:val="%4."/>
      <w:lvlJc w:val="left"/>
      <w:pPr>
        <w:ind w:left="4287" w:hanging="360"/>
      </w:pPr>
    </w:lvl>
    <w:lvl w:ilvl="4" w:tplc="04050019" w:tentative="1">
      <w:start w:val="1"/>
      <w:numFmt w:val="lowerLetter"/>
      <w:lvlText w:val="%5."/>
      <w:lvlJc w:val="left"/>
      <w:pPr>
        <w:ind w:left="5007" w:hanging="360"/>
      </w:pPr>
    </w:lvl>
    <w:lvl w:ilvl="5" w:tplc="0405001B" w:tentative="1">
      <w:start w:val="1"/>
      <w:numFmt w:val="lowerRoman"/>
      <w:lvlText w:val="%6."/>
      <w:lvlJc w:val="right"/>
      <w:pPr>
        <w:ind w:left="5727" w:hanging="180"/>
      </w:pPr>
    </w:lvl>
    <w:lvl w:ilvl="6" w:tplc="0405000F" w:tentative="1">
      <w:start w:val="1"/>
      <w:numFmt w:val="decimal"/>
      <w:lvlText w:val="%7."/>
      <w:lvlJc w:val="left"/>
      <w:pPr>
        <w:ind w:left="6447" w:hanging="360"/>
      </w:pPr>
    </w:lvl>
    <w:lvl w:ilvl="7" w:tplc="04050019" w:tentative="1">
      <w:start w:val="1"/>
      <w:numFmt w:val="lowerLetter"/>
      <w:lvlText w:val="%8."/>
      <w:lvlJc w:val="left"/>
      <w:pPr>
        <w:ind w:left="7167" w:hanging="360"/>
      </w:pPr>
    </w:lvl>
    <w:lvl w:ilvl="8" w:tplc="040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2">
    <w:nsid w:val="13CA6AF8"/>
    <w:multiLevelType w:val="hybridMultilevel"/>
    <w:tmpl w:val="DE867808"/>
    <w:lvl w:ilvl="0" w:tplc="F1FACB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9400E"/>
    <w:multiLevelType w:val="hybridMultilevel"/>
    <w:tmpl w:val="264EDA1C"/>
    <w:lvl w:ilvl="0" w:tplc="94CE3720">
      <w:start w:val="1"/>
      <w:numFmt w:val="decimal"/>
      <w:lvlText w:val="[%1]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C432C"/>
    <w:multiLevelType w:val="hybridMultilevel"/>
    <w:tmpl w:val="69B49BE8"/>
    <w:lvl w:ilvl="0" w:tplc="AC223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C294E"/>
    <w:multiLevelType w:val="hybridMultilevel"/>
    <w:tmpl w:val="88DA77EE"/>
    <w:lvl w:ilvl="0" w:tplc="31CA9AC2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136E"/>
    <w:multiLevelType w:val="hybridMultilevel"/>
    <w:tmpl w:val="59B27D20"/>
    <w:lvl w:ilvl="0" w:tplc="BE5E93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63253"/>
    <w:multiLevelType w:val="hybridMultilevel"/>
    <w:tmpl w:val="9F169F5E"/>
    <w:lvl w:ilvl="0" w:tplc="9BE8A022">
      <w:start w:val="1"/>
      <w:numFmt w:val="decimal"/>
      <w:lvlText w:val="[%1]"/>
      <w:lvlJc w:val="left"/>
      <w:pPr>
        <w:ind w:left="720" w:hanging="360"/>
      </w:pPr>
      <w:rPr>
        <w:rFonts w:ascii="Garamond" w:hAnsi="Garamond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408EE"/>
    <w:multiLevelType w:val="hybridMultilevel"/>
    <w:tmpl w:val="05F60C6A"/>
    <w:lvl w:ilvl="0" w:tplc="94CE3720">
      <w:start w:val="1"/>
      <w:numFmt w:val="decimal"/>
      <w:lvlText w:val="[%1]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771A7"/>
    <w:multiLevelType w:val="hybridMultilevel"/>
    <w:tmpl w:val="C36ECADA"/>
    <w:lvl w:ilvl="0" w:tplc="0F6C189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B274C"/>
    <w:multiLevelType w:val="hybridMultilevel"/>
    <w:tmpl w:val="418034BE"/>
    <w:lvl w:ilvl="0" w:tplc="31CA9AC2">
      <w:start w:val="1"/>
      <w:numFmt w:val="decimal"/>
      <w:lvlText w:val="[%1]"/>
      <w:lvlJc w:val="left"/>
      <w:pPr>
        <w:ind w:left="1080" w:hanging="72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16162"/>
    <w:multiLevelType w:val="hybridMultilevel"/>
    <w:tmpl w:val="2F10F66E"/>
    <w:lvl w:ilvl="0" w:tplc="7432063C">
      <w:start w:val="1"/>
      <w:numFmt w:val="decimal"/>
      <w:lvlText w:val="[%1]"/>
      <w:lvlJc w:val="left"/>
      <w:pPr>
        <w:tabs>
          <w:tab w:val="num" w:pos="851"/>
        </w:tabs>
        <w:ind w:left="680" w:hanging="538"/>
      </w:pPr>
      <w:rPr>
        <w:rFonts w:ascii="Garamond" w:hAnsi="Garamond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E5954"/>
    <w:multiLevelType w:val="hybridMultilevel"/>
    <w:tmpl w:val="CD6C21D4"/>
    <w:lvl w:ilvl="0" w:tplc="314ED53A">
      <w:start w:val="1"/>
      <w:numFmt w:val="decimal"/>
      <w:lvlText w:val="[%1]"/>
      <w:lvlJc w:val="left"/>
      <w:pPr>
        <w:ind w:left="19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D825FE6"/>
    <w:multiLevelType w:val="hybridMultilevel"/>
    <w:tmpl w:val="BC8E3F16"/>
    <w:lvl w:ilvl="0" w:tplc="31CA9AC2">
      <w:start w:val="1"/>
      <w:numFmt w:val="decimal"/>
      <w:lvlText w:val="[%1]"/>
      <w:lvlJc w:val="left"/>
      <w:pPr>
        <w:tabs>
          <w:tab w:val="num" w:pos="680"/>
        </w:tabs>
      </w:pPr>
      <w:rPr>
        <w:rFonts w:cs="Times New Roman" w:hint="default"/>
        <w:b w:val="0"/>
      </w:rPr>
    </w:lvl>
    <w:lvl w:ilvl="1" w:tplc="ADE6C570">
      <w:start w:val="1"/>
      <w:numFmt w:val="decimal"/>
      <w:lvlText w:val="[%2]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4D4AFB"/>
    <w:multiLevelType w:val="hybridMultilevel"/>
    <w:tmpl w:val="50F43916"/>
    <w:lvl w:ilvl="0" w:tplc="9E48BE16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</w:lvl>
    <w:lvl w:ilvl="1" w:tplc="A0B840EC">
      <w:start w:val="1"/>
      <w:numFmt w:val="decimal"/>
      <w:lvlText w:val="[%2]"/>
      <w:lvlJc w:val="left"/>
      <w:pPr>
        <w:tabs>
          <w:tab w:val="num" w:pos="1022"/>
        </w:tabs>
        <w:ind w:left="568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F044E208">
      <w:numFmt w:val="bullet"/>
      <w:lvlText w:val=""/>
      <w:lvlJc w:val="left"/>
      <w:pPr>
        <w:tabs>
          <w:tab w:val="num" w:pos="2416"/>
        </w:tabs>
        <w:ind w:left="2416" w:hanging="615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5">
    <w:nsid w:val="7CAC34D4"/>
    <w:multiLevelType w:val="hybridMultilevel"/>
    <w:tmpl w:val="498CCF94"/>
    <w:lvl w:ilvl="0" w:tplc="1F0C5976">
      <w:start w:val="1"/>
      <w:numFmt w:val="decimal"/>
      <w:pStyle w:val="R-oficilntext"/>
      <w:lvlText w:val="%1."/>
      <w:lvlJc w:val="left"/>
      <w:pPr>
        <w:ind w:left="1069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64"/>
    <w:rsid w:val="00000979"/>
    <w:rsid w:val="000015F8"/>
    <w:rsid w:val="0000172A"/>
    <w:rsid w:val="00003417"/>
    <w:rsid w:val="00003459"/>
    <w:rsid w:val="00007B24"/>
    <w:rsid w:val="00014958"/>
    <w:rsid w:val="00020E23"/>
    <w:rsid w:val="0003338E"/>
    <w:rsid w:val="00041DEB"/>
    <w:rsid w:val="00044625"/>
    <w:rsid w:val="000501B4"/>
    <w:rsid w:val="00060788"/>
    <w:rsid w:val="000672AB"/>
    <w:rsid w:val="00077998"/>
    <w:rsid w:val="00080EA4"/>
    <w:rsid w:val="00086A3D"/>
    <w:rsid w:val="00086E5D"/>
    <w:rsid w:val="00092286"/>
    <w:rsid w:val="000A4BA3"/>
    <w:rsid w:val="000B1591"/>
    <w:rsid w:val="000B3B18"/>
    <w:rsid w:val="000C7712"/>
    <w:rsid w:val="000D2A10"/>
    <w:rsid w:val="000D647B"/>
    <w:rsid w:val="000D6E0A"/>
    <w:rsid w:val="000F0267"/>
    <w:rsid w:val="0010139B"/>
    <w:rsid w:val="0010486B"/>
    <w:rsid w:val="00106735"/>
    <w:rsid w:val="00106A3F"/>
    <w:rsid w:val="00107471"/>
    <w:rsid w:val="00117846"/>
    <w:rsid w:val="001226B2"/>
    <w:rsid w:val="00126FAE"/>
    <w:rsid w:val="00135036"/>
    <w:rsid w:val="00140233"/>
    <w:rsid w:val="001440F1"/>
    <w:rsid w:val="001450D3"/>
    <w:rsid w:val="00145C44"/>
    <w:rsid w:val="00151897"/>
    <w:rsid w:val="00160B3F"/>
    <w:rsid w:val="00167EF2"/>
    <w:rsid w:val="00174C22"/>
    <w:rsid w:val="00184578"/>
    <w:rsid w:val="00191234"/>
    <w:rsid w:val="001947A7"/>
    <w:rsid w:val="001A0B40"/>
    <w:rsid w:val="001A1F67"/>
    <w:rsid w:val="001A40ED"/>
    <w:rsid w:val="001A55A1"/>
    <w:rsid w:val="001A725F"/>
    <w:rsid w:val="001B0207"/>
    <w:rsid w:val="001B5D78"/>
    <w:rsid w:val="001B6497"/>
    <w:rsid w:val="001D38B9"/>
    <w:rsid w:val="001E0F7F"/>
    <w:rsid w:val="001F1091"/>
    <w:rsid w:val="001F2120"/>
    <w:rsid w:val="001F4A11"/>
    <w:rsid w:val="001F579E"/>
    <w:rsid w:val="001F6AAA"/>
    <w:rsid w:val="002112CD"/>
    <w:rsid w:val="0021264D"/>
    <w:rsid w:val="00221417"/>
    <w:rsid w:val="00222424"/>
    <w:rsid w:val="00223692"/>
    <w:rsid w:val="0022502C"/>
    <w:rsid w:val="00225FCA"/>
    <w:rsid w:val="0024424B"/>
    <w:rsid w:val="00246B43"/>
    <w:rsid w:val="00247F63"/>
    <w:rsid w:val="002555A1"/>
    <w:rsid w:val="002625CC"/>
    <w:rsid w:val="00262633"/>
    <w:rsid w:val="002637F9"/>
    <w:rsid w:val="00264784"/>
    <w:rsid w:val="00273E45"/>
    <w:rsid w:val="0027606A"/>
    <w:rsid w:val="0029039A"/>
    <w:rsid w:val="0029349C"/>
    <w:rsid w:val="002944FB"/>
    <w:rsid w:val="002B19A3"/>
    <w:rsid w:val="002B2D49"/>
    <w:rsid w:val="002C1751"/>
    <w:rsid w:val="002C5195"/>
    <w:rsid w:val="002D048B"/>
    <w:rsid w:val="002D4299"/>
    <w:rsid w:val="002D5D58"/>
    <w:rsid w:val="002E0CB8"/>
    <w:rsid w:val="002E0E85"/>
    <w:rsid w:val="002F1C39"/>
    <w:rsid w:val="002F239A"/>
    <w:rsid w:val="002F2F8E"/>
    <w:rsid w:val="0031624D"/>
    <w:rsid w:val="00321593"/>
    <w:rsid w:val="00324EC2"/>
    <w:rsid w:val="003333F3"/>
    <w:rsid w:val="00336636"/>
    <w:rsid w:val="00341194"/>
    <w:rsid w:val="003464DC"/>
    <w:rsid w:val="003473AA"/>
    <w:rsid w:val="00355C07"/>
    <w:rsid w:val="00371D5C"/>
    <w:rsid w:val="00373048"/>
    <w:rsid w:val="00373F62"/>
    <w:rsid w:val="00376203"/>
    <w:rsid w:val="003837D7"/>
    <w:rsid w:val="00385D27"/>
    <w:rsid w:val="00386082"/>
    <w:rsid w:val="003870CF"/>
    <w:rsid w:val="00392638"/>
    <w:rsid w:val="00393C1B"/>
    <w:rsid w:val="003A1885"/>
    <w:rsid w:val="003A714D"/>
    <w:rsid w:val="003B10A0"/>
    <w:rsid w:val="003B5944"/>
    <w:rsid w:val="003E259E"/>
    <w:rsid w:val="003F4703"/>
    <w:rsid w:val="003F744E"/>
    <w:rsid w:val="00401134"/>
    <w:rsid w:val="004061BE"/>
    <w:rsid w:val="004152D1"/>
    <w:rsid w:val="00416549"/>
    <w:rsid w:val="004219E7"/>
    <w:rsid w:val="0042403B"/>
    <w:rsid w:val="00424066"/>
    <w:rsid w:val="004249D6"/>
    <w:rsid w:val="00430109"/>
    <w:rsid w:val="00435164"/>
    <w:rsid w:val="004353FC"/>
    <w:rsid w:val="00437BE1"/>
    <w:rsid w:val="00437F46"/>
    <w:rsid w:val="00440C2F"/>
    <w:rsid w:val="00441F91"/>
    <w:rsid w:val="00445330"/>
    <w:rsid w:val="00452F44"/>
    <w:rsid w:val="00455F77"/>
    <w:rsid w:val="00457040"/>
    <w:rsid w:val="00463237"/>
    <w:rsid w:val="004656A8"/>
    <w:rsid w:val="00467E52"/>
    <w:rsid w:val="00470B54"/>
    <w:rsid w:val="00470D21"/>
    <w:rsid w:val="00472C4F"/>
    <w:rsid w:val="00476752"/>
    <w:rsid w:val="00476B81"/>
    <w:rsid w:val="004965FD"/>
    <w:rsid w:val="004A2BDF"/>
    <w:rsid w:val="004A441C"/>
    <w:rsid w:val="004B52D0"/>
    <w:rsid w:val="004C1212"/>
    <w:rsid w:val="004C3EFC"/>
    <w:rsid w:val="004D3A73"/>
    <w:rsid w:val="004E2424"/>
    <w:rsid w:val="00507913"/>
    <w:rsid w:val="005110E9"/>
    <w:rsid w:val="00512AEE"/>
    <w:rsid w:val="0051309F"/>
    <w:rsid w:val="005160AF"/>
    <w:rsid w:val="00527E32"/>
    <w:rsid w:val="00546059"/>
    <w:rsid w:val="005529BA"/>
    <w:rsid w:val="00557378"/>
    <w:rsid w:val="00562F5A"/>
    <w:rsid w:val="005700DE"/>
    <w:rsid w:val="00570408"/>
    <w:rsid w:val="0057436F"/>
    <w:rsid w:val="00575B7A"/>
    <w:rsid w:val="00577172"/>
    <w:rsid w:val="0058148F"/>
    <w:rsid w:val="00581F58"/>
    <w:rsid w:val="0058265C"/>
    <w:rsid w:val="00585CDD"/>
    <w:rsid w:val="005935E9"/>
    <w:rsid w:val="00594241"/>
    <w:rsid w:val="005A2A5F"/>
    <w:rsid w:val="005A3D46"/>
    <w:rsid w:val="005A6DF0"/>
    <w:rsid w:val="005B28E7"/>
    <w:rsid w:val="005B3C9B"/>
    <w:rsid w:val="005B7254"/>
    <w:rsid w:val="005C7720"/>
    <w:rsid w:val="005D446F"/>
    <w:rsid w:val="005E22C2"/>
    <w:rsid w:val="005E3A5D"/>
    <w:rsid w:val="005F5E62"/>
    <w:rsid w:val="005F7DF1"/>
    <w:rsid w:val="0060228E"/>
    <w:rsid w:val="00603262"/>
    <w:rsid w:val="0060581D"/>
    <w:rsid w:val="00616FE5"/>
    <w:rsid w:val="00620848"/>
    <w:rsid w:val="00622932"/>
    <w:rsid w:val="00634F69"/>
    <w:rsid w:val="006353B6"/>
    <w:rsid w:val="00640D5D"/>
    <w:rsid w:val="00642825"/>
    <w:rsid w:val="00643C41"/>
    <w:rsid w:val="00644257"/>
    <w:rsid w:val="0065315F"/>
    <w:rsid w:val="0065387A"/>
    <w:rsid w:val="00653D74"/>
    <w:rsid w:val="00653E3F"/>
    <w:rsid w:val="00655A32"/>
    <w:rsid w:val="00656B20"/>
    <w:rsid w:val="00656FF3"/>
    <w:rsid w:val="0067360D"/>
    <w:rsid w:val="00675F24"/>
    <w:rsid w:val="00683DB1"/>
    <w:rsid w:val="006843C0"/>
    <w:rsid w:val="006A1BD8"/>
    <w:rsid w:val="006A216D"/>
    <w:rsid w:val="006A4A19"/>
    <w:rsid w:val="006A55A4"/>
    <w:rsid w:val="006B09F5"/>
    <w:rsid w:val="006B1A13"/>
    <w:rsid w:val="006C019B"/>
    <w:rsid w:val="006C201A"/>
    <w:rsid w:val="006C6314"/>
    <w:rsid w:val="006D44C9"/>
    <w:rsid w:val="006D746A"/>
    <w:rsid w:val="006E0AA4"/>
    <w:rsid w:val="006E36DA"/>
    <w:rsid w:val="006E512F"/>
    <w:rsid w:val="006E7625"/>
    <w:rsid w:val="006F5D23"/>
    <w:rsid w:val="007022CC"/>
    <w:rsid w:val="007033DC"/>
    <w:rsid w:val="00705C3F"/>
    <w:rsid w:val="0072557B"/>
    <w:rsid w:val="00726200"/>
    <w:rsid w:val="00726572"/>
    <w:rsid w:val="007266A6"/>
    <w:rsid w:val="00732BD1"/>
    <w:rsid w:val="00733450"/>
    <w:rsid w:val="0073372C"/>
    <w:rsid w:val="007351C7"/>
    <w:rsid w:val="00742B21"/>
    <w:rsid w:val="007444AC"/>
    <w:rsid w:val="00744AEB"/>
    <w:rsid w:val="00751BAB"/>
    <w:rsid w:val="00753A13"/>
    <w:rsid w:val="00756796"/>
    <w:rsid w:val="007604D2"/>
    <w:rsid w:val="00760614"/>
    <w:rsid w:val="00761F0E"/>
    <w:rsid w:val="007673F6"/>
    <w:rsid w:val="007800C0"/>
    <w:rsid w:val="007817B9"/>
    <w:rsid w:val="00795256"/>
    <w:rsid w:val="007955F7"/>
    <w:rsid w:val="007A0DA1"/>
    <w:rsid w:val="007A20FB"/>
    <w:rsid w:val="007C0BF7"/>
    <w:rsid w:val="007C5518"/>
    <w:rsid w:val="007C60CF"/>
    <w:rsid w:val="007D0715"/>
    <w:rsid w:val="007D6B0C"/>
    <w:rsid w:val="007E4A29"/>
    <w:rsid w:val="007F1C37"/>
    <w:rsid w:val="007F3BEB"/>
    <w:rsid w:val="007F5974"/>
    <w:rsid w:val="00800633"/>
    <w:rsid w:val="0080123B"/>
    <w:rsid w:val="00812132"/>
    <w:rsid w:val="00813066"/>
    <w:rsid w:val="008138B3"/>
    <w:rsid w:val="00820F87"/>
    <w:rsid w:val="008356B7"/>
    <w:rsid w:val="00842C80"/>
    <w:rsid w:val="00844CD3"/>
    <w:rsid w:val="0084527A"/>
    <w:rsid w:val="00851465"/>
    <w:rsid w:val="00851B6B"/>
    <w:rsid w:val="00852560"/>
    <w:rsid w:val="00856CF6"/>
    <w:rsid w:val="00856E92"/>
    <w:rsid w:val="0086758B"/>
    <w:rsid w:val="008838F5"/>
    <w:rsid w:val="00885E06"/>
    <w:rsid w:val="00890117"/>
    <w:rsid w:val="00891B53"/>
    <w:rsid w:val="00896028"/>
    <w:rsid w:val="0089715D"/>
    <w:rsid w:val="008A1E1B"/>
    <w:rsid w:val="008A270E"/>
    <w:rsid w:val="008A2B77"/>
    <w:rsid w:val="008A3C15"/>
    <w:rsid w:val="008A6744"/>
    <w:rsid w:val="008B0818"/>
    <w:rsid w:val="008B491E"/>
    <w:rsid w:val="008B51EC"/>
    <w:rsid w:val="008B666D"/>
    <w:rsid w:val="008C0415"/>
    <w:rsid w:val="008C42B0"/>
    <w:rsid w:val="008D1868"/>
    <w:rsid w:val="008D6F38"/>
    <w:rsid w:val="008E0E0E"/>
    <w:rsid w:val="008E5217"/>
    <w:rsid w:val="008E76AF"/>
    <w:rsid w:val="008F407D"/>
    <w:rsid w:val="00904F13"/>
    <w:rsid w:val="00917AB9"/>
    <w:rsid w:val="009223EB"/>
    <w:rsid w:val="009315D5"/>
    <w:rsid w:val="00942CF6"/>
    <w:rsid w:val="00944C9F"/>
    <w:rsid w:val="00945FED"/>
    <w:rsid w:val="00952267"/>
    <w:rsid w:val="009548D6"/>
    <w:rsid w:val="00960A77"/>
    <w:rsid w:val="00961DD8"/>
    <w:rsid w:val="009622BB"/>
    <w:rsid w:val="0096322E"/>
    <w:rsid w:val="00977D06"/>
    <w:rsid w:val="0098350E"/>
    <w:rsid w:val="009927F0"/>
    <w:rsid w:val="0099398A"/>
    <w:rsid w:val="009A0B46"/>
    <w:rsid w:val="009A5410"/>
    <w:rsid w:val="009B1AB0"/>
    <w:rsid w:val="009D1F02"/>
    <w:rsid w:val="009D2536"/>
    <w:rsid w:val="009D7485"/>
    <w:rsid w:val="009E07E4"/>
    <w:rsid w:val="00A13606"/>
    <w:rsid w:val="00A1551F"/>
    <w:rsid w:val="00A15AB2"/>
    <w:rsid w:val="00A21D44"/>
    <w:rsid w:val="00A2365F"/>
    <w:rsid w:val="00A26A07"/>
    <w:rsid w:val="00A33D03"/>
    <w:rsid w:val="00A4000C"/>
    <w:rsid w:val="00A407D9"/>
    <w:rsid w:val="00A454BC"/>
    <w:rsid w:val="00A51F28"/>
    <w:rsid w:val="00A54DA4"/>
    <w:rsid w:val="00A56BCB"/>
    <w:rsid w:val="00A57698"/>
    <w:rsid w:val="00A633AD"/>
    <w:rsid w:val="00A853B3"/>
    <w:rsid w:val="00A86197"/>
    <w:rsid w:val="00A87363"/>
    <w:rsid w:val="00A93BC4"/>
    <w:rsid w:val="00A940A9"/>
    <w:rsid w:val="00A94F1D"/>
    <w:rsid w:val="00AA0B9F"/>
    <w:rsid w:val="00AA3422"/>
    <w:rsid w:val="00AA7638"/>
    <w:rsid w:val="00AB069E"/>
    <w:rsid w:val="00AB289D"/>
    <w:rsid w:val="00AB5851"/>
    <w:rsid w:val="00AB762C"/>
    <w:rsid w:val="00AC41FA"/>
    <w:rsid w:val="00AD45F0"/>
    <w:rsid w:val="00AD5160"/>
    <w:rsid w:val="00AD5B82"/>
    <w:rsid w:val="00AD7CCB"/>
    <w:rsid w:val="00AE1C19"/>
    <w:rsid w:val="00AE1DEA"/>
    <w:rsid w:val="00AF56D3"/>
    <w:rsid w:val="00B113FE"/>
    <w:rsid w:val="00B40391"/>
    <w:rsid w:val="00B40FF5"/>
    <w:rsid w:val="00B432A2"/>
    <w:rsid w:val="00B5486A"/>
    <w:rsid w:val="00B6321C"/>
    <w:rsid w:val="00B7442A"/>
    <w:rsid w:val="00B758B0"/>
    <w:rsid w:val="00B75B88"/>
    <w:rsid w:val="00B767F3"/>
    <w:rsid w:val="00B81547"/>
    <w:rsid w:val="00B854AC"/>
    <w:rsid w:val="00B85B87"/>
    <w:rsid w:val="00B90809"/>
    <w:rsid w:val="00B936A0"/>
    <w:rsid w:val="00B94CC6"/>
    <w:rsid w:val="00B9612B"/>
    <w:rsid w:val="00BA07F3"/>
    <w:rsid w:val="00BA5915"/>
    <w:rsid w:val="00BB21CA"/>
    <w:rsid w:val="00BC4DD8"/>
    <w:rsid w:val="00BD0F6F"/>
    <w:rsid w:val="00BD10A8"/>
    <w:rsid w:val="00BD4A43"/>
    <w:rsid w:val="00BE327E"/>
    <w:rsid w:val="00BE3B36"/>
    <w:rsid w:val="00BE5576"/>
    <w:rsid w:val="00BE5F93"/>
    <w:rsid w:val="00BF70C7"/>
    <w:rsid w:val="00C010CD"/>
    <w:rsid w:val="00C055EE"/>
    <w:rsid w:val="00C05918"/>
    <w:rsid w:val="00C13719"/>
    <w:rsid w:val="00C14B2C"/>
    <w:rsid w:val="00C152ED"/>
    <w:rsid w:val="00C27FB8"/>
    <w:rsid w:val="00C40DDE"/>
    <w:rsid w:val="00C43B62"/>
    <w:rsid w:val="00C45DB9"/>
    <w:rsid w:val="00C52D88"/>
    <w:rsid w:val="00C53337"/>
    <w:rsid w:val="00C553BF"/>
    <w:rsid w:val="00C744D6"/>
    <w:rsid w:val="00C75236"/>
    <w:rsid w:val="00C755CC"/>
    <w:rsid w:val="00C82729"/>
    <w:rsid w:val="00C90ACB"/>
    <w:rsid w:val="00C91742"/>
    <w:rsid w:val="00CA3678"/>
    <w:rsid w:val="00CA4173"/>
    <w:rsid w:val="00CA4E2B"/>
    <w:rsid w:val="00CD2644"/>
    <w:rsid w:val="00CD3EFA"/>
    <w:rsid w:val="00CF2415"/>
    <w:rsid w:val="00CF64E3"/>
    <w:rsid w:val="00CF6804"/>
    <w:rsid w:val="00D027D4"/>
    <w:rsid w:val="00D156A7"/>
    <w:rsid w:val="00D16C0E"/>
    <w:rsid w:val="00D2633B"/>
    <w:rsid w:val="00D35BFA"/>
    <w:rsid w:val="00D35DEC"/>
    <w:rsid w:val="00D41885"/>
    <w:rsid w:val="00D443A4"/>
    <w:rsid w:val="00D51975"/>
    <w:rsid w:val="00D569A5"/>
    <w:rsid w:val="00D675CB"/>
    <w:rsid w:val="00D709D4"/>
    <w:rsid w:val="00D90928"/>
    <w:rsid w:val="00DA14ED"/>
    <w:rsid w:val="00DA2197"/>
    <w:rsid w:val="00DA4271"/>
    <w:rsid w:val="00DA530D"/>
    <w:rsid w:val="00DA5486"/>
    <w:rsid w:val="00DA551E"/>
    <w:rsid w:val="00DA6979"/>
    <w:rsid w:val="00DA6C13"/>
    <w:rsid w:val="00DA7213"/>
    <w:rsid w:val="00DB2B7E"/>
    <w:rsid w:val="00DB660C"/>
    <w:rsid w:val="00DD7D6E"/>
    <w:rsid w:val="00DF193B"/>
    <w:rsid w:val="00E009E7"/>
    <w:rsid w:val="00E06B73"/>
    <w:rsid w:val="00E12600"/>
    <w:rsid w:val="00E12981"/>
    <w:rsid w:val="00E134BB"/>
    <w:rsid w:val="00E222D9"/>
    <w:rsid w:val="00E23CAC"/>
    <w:rsid w:val="00E25F9F"/>
    <w:rsid w:val="00E379AD"/>
    <w:rsid w:val="00E4429D"/>
    <w:rsid w:val="00E4764F"/>
    <w:rsid w:val="00E57DE6"/>
    <w:rsid w:val="00E666D6"/>
    <w:rsid w:val="00E673F3"/>
    <w:rsid w:val="00E70BF1"/>
    <w:rsid w:val="00E74AF5"/>
    <w:rsid w:val="00E76828"/>
    <w:rsid w:val="00E90138"/>
    <w:rsid w:val="00E90618"/>
    <w:rsid w:val="00E90F47"/>
    <w:rsid w:val="00E92B07"/>
    <w:rsid w:val="00E93AEE"/>
    <w:rsid w:val="00ED7147"/>
    <w:rsid w:val="00EE33E3"/>
    <w:rsid w:val="00EE5C7E"/>
    <w:rsid w:val="00EE75BB"/>
    <w:rsid w:val="00EF5222"/>
    <w:rsid w:val="00EF58B7"/>
    <w:rsid w:val="00EF66BE"/>
    <w:rsid w:val="00F02EA1"/>
    <w:rsid w:val="00F0634C"/>
    <w:rsid w:val="00F1245C"/>
    <w:rsid w:val="00F23949"/>
    <w:rsid w:val="00F270E4"/>
    <w:rsid w:val="00F453F6"/>
    <w:rsid w:val="00F547C9"/>
    <w:rsid w:val="00F55F98"/>
    <w:rsid w:val="00F76352"/>
    <w:rsid w:val="00F821B3"/>
    <w:rsid w:val="00F84F07"/>
    <w:rsid w:val="00F8644D"/>
    <w:rsid w:val="00FA008D"/>
    <w:rsid w:val="00FA019B"/>
    <w:rsid w:val="00FA0A4D"/>
    <w:rsid w:val="00FA1FEF"/>
    <w:rsid w:val="00FA2F67"/>
    <w:rsid w:val="00FA4216"/>
    <w:rsid w:val="00FA4FD6"/>
    <w:rsid w:val="00FB1D44"/>
    <w:rsid w:val="00FC1B96"/>
    <w:rsid w:val="00FC35BC"/>
    <w:rsid w:val="00FC7B0D"/>
    <w:rsid w:val="00FE1018"/>
    <w:rsid w:val="00FE3908"/>
    <w:rsid w:val="00FF11A2"/>
    <w:rsid w:val="00FF12FF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F6B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164"/>
    <w:pPr>
      <w:spacing w:after="0" w:line="240" w:lineRule="auto"/>
      <w:jc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351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35164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35164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5164"/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435164"/>
    <w:pPr>
      <w:numPr>
        <w:ilvl w:val="1"/>
      </w:numPr>
      <w:jc w:val="left"/>
    </w:pPr>
    <w:rPr>
      <w:rFonts w:eastAsiaTheme="majorEastAsia" w:cstheme="majorBidi"/>
      <w:i/>
      <w:iCs/>
      <w:color w:val="808080" w:themeColor="background1" w:themeShade="80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rsid w:val="00435164"/>
    <w:rPr>
      <w:rFonts w:ascii="Garamond" w:eastAsiaTheme="majorEastAsia" w:hAnsi="Garamond" w:cstheme="majorBidi"/>
      <w:i/>
      <w:iCs/>
      <w:color w:val="808080" w:themeColor="background1" w:themeShade="80"/>
      <w:spacing w:val="15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435164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51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35164"/>
    <w:rPr>
      <w:vertAlign w:val="superscript"/>
    </w:rPr>
  </w:style>
  <w:style w:type="paragraph" w:customStyle="1" w:styleId="mmstd">
    <w:name w:val="mm std."/>
    <w:basedOn w:val="Normln"/>
    <w:link w:val="mmstdChar"/>
    <w:rsid w:val="00435164"/>
    <w:pPr>
      <w:suppressAutoHyphens/>
      <w:spacing w:before="60" w:after="60" w:line="180" w:lineRule="atLeast"/>
      <w:ind w:firstLine="425"/>
      <w:jc w:val="both"/>
    </w:pPr>
    <w:rPr>
      <w:rFonts w:eastAsia="Calibri" w:cs="Garamond"/>
      <w:sz w:val="26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1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mstdChar">
    <w:name w:val="mm std. Char"/>
    <w:link w:val="mmstd"/>
    <w:rsid w:val="004E2424"/>
    <w:rPr>
      <w:rFonts w:ascii="Garamond" w:eastAsia="Calibri" w:hAnsi="Garamond" w:cs="Garamond"/>
      <w:sz w:val="26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F1C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C39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sslovnm">
    <w:name w:val="Základní s číslováním"/>
    <w:basedOn w:val="Normln"/>
    <w:qFormat/>
    <w:rsid w:val="00437F46"/>
    <w:pPr>
      <w:numPr>
        <w:ilvl w:val="1"/>
        <w:numId w:val="10"/>
      </w:numPr>
      <w:tabs>
        <w:tab w:val="left" w:pos="709"/>
      </w:tabs>
      <w:jc w:val="both"/>
    </w:pPr>
  </w:style>
  <w:style w:type="paragraph" w:customStyle="1" w:styleId="Default">
    <w:name w:val="Default"/>
    <w:rsid w:val="00E23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-oficilntextChar">
    <w:name w:val="R-oficiální text Char"/>
    <w:link w:val="R-oficilntext"/>
    <w:locked/>
    <w:rsid w:val="0042403B"/>
    <w:rPr>
      <w:rFonts w:ascii="Garamond" w:eastAsia="Calibri" w:hAnsi="Garamond" w:cs="Times New Roman"/>
      <w:sz w:val="20"/>
      <w:szCs w:val="20"/>
      <w:lang w:eastAsia="cs-CZ"/>
    </w:rPr>
  </w:style>
  <w:style w:type="paragraph" w:customStyle="1" w:styleId="R-oficilntext">
    <w:name w:val="R-oficiální text"/>
    <w:basedOn w:val="Normln"/>
    <w:link w:val="R-oficilntextChar"/>
    <w:qFormat/>
    <w:rsid w:val="0042403B"/>
    <w:pPr>
      <w:numPr>
        <w:numId w:val="13"/>
      </w:numPr>
      <w:spacing w:after="120"/>
      <w:ind w:left="0" w:hanging="426"/>
      <w:jc w:val="both"/>
    </w:pPr>
    <w:rPr>
      <w:rFonts w:eastAsia="Calibr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138B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38B3"/>
    <w:rPr>
      <w:color w:val="605E5C"/>
      <w:shd w:val="clear" w:color="auto" w:fill="E1DFDD"/>
    </w:rPr>
  </w:style>
  <w:style w:type="paragraph" w:customStyle="1" w:styleId="Barevnseznamzvraznn11">
    <w:name w:val="Barevný seznam – zvýraznění 11"/>
    <w:basedOn w:val="Normln"/>
    <w:uiPriority w:val="34"/>
    <w:qFormat/>
    <w:rsid w:val="004249D6"/>
    <w:pPr>
      <w:ind w:left="708"/>
      <w:jc w:val="left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164"/>
    <w:pPr>
      <w:spacing w:after="0" w:line="240" w:lineRule="auto"/>
      <w:jc w:val="center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351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35164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35164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5164"/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435164"/>
    <w:pPr>
      <w:numPr>
        <w:ilvl w:val="1"/>
      </w:numPr>
      <w:jc w:val="left"/>
    </w:pPr>
    <w:rPr>
      <w:rFonts w:eastAsiaTheme="majorEastAsia" w:cstheme="majorBidi"/>
      <w:i/>
      <w:iCs/>
      <w:color w:val="808080" w:themeColor="background1" w:themeShade="80"/>
      <w:spacing w:val="15"/>
      <w:lang w:eastAsia="en-US"/>
    </w:rPr>
  </w:style>
  <w:style w:type="character" w:customStyle="1" w:styleId="PodtitulChar">
    <w:name w:val="Podtitul Char"/>
    <w:basedOn w:val="Standardnpsmoodstavce"/>
    <w:link w:val="Podtitul"/>
    <w:rsid w:val="00435164"/>
    <w:rPr>
      <w:rFonts w:ascii="Garamond" w:eastAsiaTheme="majorEastAsia" w:hAnsi="Garamond" w:cstheme="majorBidi"/>
      <w:i/>
      <w:iCs/>
      <w:color w:val="808080" w:themeColor="background1" w:themeShade="80"/>
      <w:spacing w:val="15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435164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51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35164"/>
    <w:rPr>
      <w:vertAlign w:val="superscript"/>
    </w:rPr>
  </w:style>
  <w:style w:type="paragraph" w:customStyle="1" w:styleId="mmstd">
    <w:name w:val="mm std."/>
    <w:basedOn w:val="Normln"/>
    <w:link w:val="mmstdChar"/>
    <w:rsid w:val="00435164"/>
    <w:pPr>
      <w:suppressAutoHyphens/>
      <w:spacing w:before="60" w:after="60" w:line="180" w:lineRule="atLeast"/>
      <w:ind w:firstLine="425"/>
      <w:jc w:val="both"/>
    </w:pPr>
    <w:rPr>
      <w:rFonts w:eastAsia="Calibri" w:cs="Garamond"/>
      <w:sz w:val="26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1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mstdChar">
    <w:name w:val="mm std. Char"/>
    <w:link w:val="mmstd"/>
    <w:rsid w:val="004E2424"/>
    <w:rPr>
      <w:rFonts w:ascii="Garamond" w:eastAsia="Calibri" w:hAnsi="Garamond" w:cs="Garamond"/>
      <w:sz w:val="26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F1C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C39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sslovnm">
    <w:name w:val="Základní s číslováním"/>
    <w:basedOn w:val="Normln"/>
    <w:qFormat/>
    <w:rsid w:val="00437F46"/>
    <w:pPr>
      <w:numPr>
        <w:ilvl w:val="1"/>
        <w:numId w:val="10"/>
      </w:numPr>
      <w:tabs>
        <w:tab w:val="left" w:pos="709"/>
      </w:tabs>
      <w:jc w:val="both"/>
    </w:pPr>
  </w:style>
  <w:style w:type="paragraph" w:customStyle="1" w:styleId="Default">
    <w:name w:val="Default"/>
    <w:rsid w:val="00E23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-oficilntextChar">
    <w:name w:val="R-oficiální text Char"/>
    <w:link w:val="R-oficilntext"/>
    <w:locked/>
    <w:rsid w:val="0042403B"/>
    <w:rPr>
      <w:rFonts w:ascii="Garamond" w:eastAsia="Calibri" w:hAnsi="Garamond" w:cs="Times New Roman"/>
      <w:sz w:val="20"/>
      <w:szCs w:val="20"/>
      <w:lang w:eastAsia="cs-CZ"/>
    </w:rPr>
  </w:style>
  <w:style w:type="paragraph" w:customStyle="1" w:styleId="R-oficilntext">
    <w:name w:val="R-oficiální text"/>
    <w:basedOn w:val="Normln"/>
    <w:link w:val="R-oficilntextChar"/>
    <w:qFormat/>
    <w:rsid w:val="0042403B"/>
    <w:pPr>
      <w:numPr>
        <w:numId w:val="13"/>
      </w:numPr>
      <w:spacing w:after="120"/>
      <w:ind w:left="0" w:hanging="426"/>
      <w:jc w:val="both"/>
    </w:pPr>
    <w:rPr>
      <w:rFonts w:eastAsia="Calibr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138B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38B3"/>
    <w:rPr>
      <w:color w:val="605E5C"/>
      <w:shd w:val="clear" w:color="auto" w:fill="E1DFDD"/>
    </w:rPr>
  </w:style>
  <w:style w:type="paragraph" w:customStyle="1" w:styleId="Barevnseznamzvraznn11">
    <w:name w:val="Barevný seznam – zvýraznění 11"/>
    <w:basedOn w:val="Normln"/>
    <w:uiPriority w:val="34"/>
    <w:qFormat/>
    <w:rsid w:val="004249D6"/>
    <w:pPr>
      <w:ind w:left="708"/>
      <w:jc w:val="left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D2432C90FF54686E01B26E40AA861" ma:contentTypeVersion="0" ma:contentTypeDescription="Vytvoří nový dokument" ma:contentTypeScope="" ma:versionID="39d76f62e13af19f95ed609b8ce135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029E3-786E-451C-AD90-D5213A566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8E819-F588-4029-BF60-A6B3D54A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9747A-F882-42FF-9CB3-344A8969387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6DC797-F884-4730-82E0-ADABC65E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2145</Words>
  <Characters>12658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Sylva Bc.</dc:creator>
  <cp:lastModifiedBy>Dostálová Sylva Bc.</cp:lastModifiedBy>
  <cp:revision>2</cp:revision>
  <cp:lastPrinted>2020-06-23T15:37:00Z</cp:lastPrinted>
  <dcterms:created xsi:type="dcterms:W3CDTF">2022-12-12T13:25:00Z</dcterms:created>
  <dcterms:modified xsi:type="dcterms:W3CDTF">2022-12-12T13:25:00Z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0x0101000A9D2432C90FF54686E01B26E40AA861</vt:lpwstr>
  </property>
</Properties>
</file>