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7B7E7" w14:textId="77777777" w:rsidR="00D14DE3" w:rsidRDefault="00D14DE3" w:rsidP="00D14DE3">
      <w:pPr>
        <w:jc w:val="center"/>
      </w:pPr>
      <w:bookmarkStart w:id="0" w:name="_GoBack"/>
      <w:bookmarkEnd w:id="0"/>
    </w:p>
    <w:p w14:paraId="6737B7E8" w14:textId="77777777" w:rsidR="00D14DE3" w:rsidRDefault="00D14DE3" w:rsidP="00D14DE3">
      <w:pPr>
        <w:jc w:val="center"/>
      </w:pPr>
      <w:r>
        <w:rPr>
          <w:noProof/>
        </w:rPr>
        <w:drawing>
          <wp:inline distT="0" distB="0" distL="0" distR="0" wp14:anchorId="6737B829" wp14:editId="6737B82A">
            <wp:extent cx="1051560" cy="124968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7B7E9" w14:textId="77777777" w:rsidR="00D14DE3" w:rsidRDefault="00D14DE3" w:rsidP="00D14DE3">
      <w:pPr>
        <w:jc w:val="center"/>
      </w:pPr>
      <w:r>
        <w:rPr>
          <w:sz w:val="28"/>
          <w:szCs w:val="28"/>
        </w:rPr>
        <w:t>ČESKÁ REPUBLIKA</w:t>
      </w:r>
    </w:p>
    <w:p w14:paraId="6737B7EA" w14:textId="77777777" w:rsidR="00D14DE3" w:rsidRDefault="00D14DE3" w:rsidP="00D14DE3">
      <w:pPr>
        <w:jc w:val="center"/>
      </w:pPr>
    </w:p>
    <w:p w14:paraId="6737B7EB" w14:textId="77777777" w:rsidR="00D14DE3" w:rsidRPr="0035415D" w:rsidRDefault="00D14DE3" w:rsidP="00D14DE3">
      <w:pPr>
        <w:jc w:val="center"/>
        <w:rPr>
          <w:b/>
          <w:spacing w:val="60"/>
        </w:rPr>
      </w:pPr>
      <w:r w:rsidRPr="0035415D">
        <w:rPr>
          <w:b/>
          <w:spacing w:val="60"/>
          <w:sz w:val="32"/>
          <w:szCs w:val="32"/>
        </w:rPr>
        <w:t>ROZSUDEK</w:t>
      </w:r>
    </w:p>
    <w:p w14:paraId="6737B7EC" w14:textId="77777777" w:rsidR="00D14DE3" w:rsidRDefault="00D14DE3" w:rsidP="00D14DE3">
      <w:pPr>
        <w:jc w:val="center"/>
        <w:rPr>
          <w:b/>
          <w:spacing w:val="60"/>
          <w:sz w:val="32"/>
          <w:szCs w:val="32"/>
        </w:rPr>
      </w:pPr>
      <w:proofErr w:type="gramStart"/>
      <w:r w:rsidRPr="0035415D">
        <w:rPr>
          <w:b/>
          <w:spacing w:val="60"/>
          <w:sz w:val="32"/>
          <w:szCs w:val="32"/>
        </w:rPr>
        <w:t>JMÉNEM</w:t>
      </w:r>
      <w:r>
        <w:rPr>
          <w:b/>
          <w:sz w:val="32"/>
          <w:szCs w:val="32"/>
        </w:rPr>
        <w:t xml:space="preserve">   </w:t>
      </w:r>
      <w:r w:rsidRPr="0035415D">
        <w:rPr>
          <w:b/>
          <w:spacing w:val="60"/>
          <w:sz w:val="32"/>
          <w:szCs w:val="32"/>
        </w:rPr>
        <w:t>REPUBLIKY</w:t>
      </w:r>
      <w:proofErr w:type="gramEnd"/>
    </w:p>
    <w:p w14:paraId="6737B7ED" w14:textId="77777777" w:rsidR="00D14DE3" w:rsidRDefault="00D14DE3" w:rsidP="00D14DE3"/>
    <w:p w14:paraId="6737B7EE" w14:textId="77777777" w:rsidR="00D14DE3" w:rsidRDefault="00D14DE3" w:rsidP="00D14DE3"/>
    <w:p w14:paraId="6737B7EF" w14:textId="2BD67A1B" w:rsidR="00D14DE3" w:rsidRDefault="00D14DE3" w:rsidP="00D14DE3">
      <w:pPr>
        <w:jc w:val="both"/>
        <w:rPr>
          <w:rFonts w:ascii="Garamond" w:hAnsi="Garamond"/>
        </w:rPr>
      </w:pPr>
      <w:r w:rsidRPr="00D14DE3">
        <w:rPr>
          <w:rFonts w:ascii="Garamond" w:hAnsi="Garamond"/>
        </w:rPr>
        <w:t xml:space="preserve">Nejvyšší správní soud rozhodl v senátu složeném z předsedy JUDr. Jakuba </w:t>
      </w:r>
      <w:proofErr w:type="spellStart"/>
      <w:r w:rsidRPr="00D14DE3">
        <w:rPr>
          <w:rFonts w:ascii="Garamond" w:hAnsi="Garamond"/>
        </w:rPr>
        <w:t>Camrdy</w:t>
      </w:r>
      <w:proofErr w:type="spellEnd"/>
      <w:r w:rsidRPr="00D14DE3">
        <w:rPr>
          <w:rFonts w:ascii="Garamond" w:hAnsi="Garamond"/>
        </w:rPr>
        <w:t xml:space="preserve"> a soudců JUDr. Lenky Matyášové a JUDr. Viktora Kučery v právní věci žalobce: </w:t>
      </w:r>
      <w:r w:rsidRPr="00D14DE3">
        <w:rPr>
          <w:rFonts w:ascii="Garamond" w:hAnsi="Garamond"/>
          <w:b/>
        </w:rPr>
        <w:t>P</w:t>
      </w:r>
      <w:r w:rsidR="00A92CEE">
        <w:rPr>
          <w:rFonts w:ascii="Garamond" w:hAnsi="Garamond"/>
          <w:b/>
        </w:rPr>
        <w:t>.</w:t>
      </w:r>
      <w:r w:rsidRPr="00D14DE3">
        <w:rPr>
          <w:rFonts w:ascii="Garamond" w:hAnsi="Garamond"/>
          <w:b/>
        </w:rPr>
        <w:t xml:space="preserve"> N</w:t>
      </w:r>
      <w:r w:rsidR="00A92CEE">
        <w:rPr>
          <w:rFonts w:ascii="Garamond" w:hAnsi="Garamond"/>
          <w:b/>
        </w:rPr>
        <w:t>.</w:t>
      </w:r>
      <w:r w:rsidRPr="00D14DE3">
        <w:rPr>
          <w:rFonts w:ascii="Garamond" w:hAnsi="Garamond"/>
          <w:b/>
        </w:rPr>
        <w:t>,</w:t>
      </w:r>
      <w:r w:rsidRPr="00D14DE3">
        <w:rPr>
          <w:rFonts w:ascii="Garamond" w:hAnsi="Garamond"/>
        </w:rPr>
        <w:t xml:space="preserve"> proti žalované: </w:t>
      </w:r>
      <w:r w:rsidRPr="00D14DE3">
        <w:rPr>
          <w:rFonts w:ascii="Garamond" w:hAnsi="Garamond"/>
          <w:b/>
          <w:bCs/>
        </w:rPr>
        <w:t>Vězeňská služba České republiky</w:t>
      </w:r>
      <w:r w:rsidRPr="00D14DE3">
        <w:rPr>
          <w:rFonts w:ascii="Garamond" w:hAnsi="Garamond"/>
        </w:rPr>
        <w:t>, se sídlem Soudní 1672/1a, Praha 4, v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řízení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o kasační stížnosti žalobce proti usnesení Městského soudu v Praze ze dne 17. 6. 2021, č. j. </w:t>
      </w:r>
      <w:bookmarkStart w:id="1" w:name="spisova_zn_M"/>
      <w:r w:rsidRPr="00D14DE3">
        <w:rPr>
          <w:rFonts w:ascii="Garamond" w:hAnsi="Garamond"/>
        </w:rPr>
        <w:t>6 A 51/2021</w:t>
      </w:r>
      <w:bookmarkEnd w:id="1"/>
      <w:r w:rsidRPr="00D14DE3">
        <w:rPr>
          <w:rFonts w:ascii="Garamond" w:hAnsi="Garamond"/>
        </w:rPr>
        <w:t xml:space="preserve"> </w:t>
      </w:r>
      <w:r w:rsidRPr="00D14DE3">
        <w:rPr>
          <w:rFonts w:ascii="Garamond" w:hAnsi="Garamond"/>
        </w:rPr>
        <w:noBreakHyphen/>
        <w:t xml:space="preserve"> </w:t>
      </w:r>
      <w:bookmarkStart w:id="2" w:name="NRCListu"/>
      <w:r w:rsidRPr="00D14DE3">
        <w:rPr>
          <w:rFonts w:ascii="Garamond" w:hAnsi="Garamond"/>
        </w:rPr>
        <w:t>18</w:t>
      </w:r>
      <w:bookmarkEnd w:id="2"/>
      <w:r w:rsidRPr="00D14DE3">
        <w:rPr>
          <w:rFonts w:ascii="Garamond" w:hAnsi="Garamond"/>
        </w:rPr>
        <w:t>,</w:t>
      </w:r>
    </w:p>
    <w:p w14:paraId="6737B7F0" w14:textId="77777777" w:rsidR="00D14DE3" w:rsidRPr="00D14DE3" w:rsidRDefault="00D14DE3" w:rsidP="00D14DE3">
      <w:pPr>
        <w:jc w:val="both"/>
        <w:rPr>
          <w:rFonts w:ascii="Garamond" w:hAnsi="Garamond"/>
        </w:rPr>
      </w:pPr>
    </w:p>
    <w:p w14:paraId="6737B7F1" w14:textId="77777777" w:rsidR="00D14DE3" w:rsidRDefault="00D14DE3" w:rsidP="00D14DE3">
      <w:pPr>
        <w:jc w:val="center"/>
        <w:rPr>
          <w:rFonts w:ascii="Garamond" w:hAnsi="Garamond"/>
          <w:b/>
          <w:spacing w:val="60"/>
        </w:rPr>
      </w:pPr>
      <w:r w:rsidRPr="00D14DE3">
        <w:rPr>
          <w:rFonts w:ascii="Garamond" w:hAnsi="Garamond"/>
          <w:b/>
          <w:spacing w:val="60"/>
        </w:rPr>
        <w:t>takto:</w:t>
      </w:r>
    </w:p>
    <w:p w14:paraId="6737B7F2" w14:textId="77777777" w:rsidR="00D14DE3" w:rsidRPr="00D14DE3" w:rsidRDefault="00D14DE3" w:rsidP="00D14DE3">
      <w:pPr>
        <w:jc w:val="center"/>
        <w:rPr>
          <w:rFonts w:ascii="Garamond" w:hAnsi="Garamond"/>
          <w:b/>
          <w:spacing w:val="60"/>
        </w:rPr>
      </w:pPr>
    </w:p>
    <w:p w14:paraId="6737B7F3" w14:textId="77777777" w:rsidR="00D14DE3" w:rsidRDefault="00D14DE3" w:rsidP="00D14DE3">
      <w:pPr>
        <w:ind w:firstLine="708"/>
        <w:jc w:val="both"/>
        <w:rPr>
          <w:rFonts w:ascii="Garamond" w:hAnsi="Garamond"/>
          <w:snapToGrid w:val="0"/>
        </w:rPr>
      </w:pPr>
      <w:r w:rsidRPr="00D14DE3">
        <w:rPr>
          <w:rFonts w:ascii="Garamond" w:hAnsi="Garamond"/>
        </w:rPr>
        <w:t>U</w:t>
      </w:r>
      <w:r w:rsidRPr="00D14DE3">
        <w:rPr>
          <w:rFonts w:ascii="Garamond" w:hAnsi="Garamond"/>
          <w:snapToGrid w:val="0"/>
        </w:rPr>
        <w:t xml:space="preserve">snesení </w:t>
      </w:r>
      <w:r w:rsidRPr="00D14DE3">
        <w:rPr>
          <w:rFonts w:ascii="Garamond" w:hAnsi="Garamond"/>
        </w:rPr>
        <w:t>Městského soudu v Praze ze dne 17. 6. 2021, č. j. 6</w:t>
      </w:r>
      <w:r>
        <w:rPr>
          <w:rFonts w:ascii="Garamond" w:hAnsi="Garamond"/>
        </w:rPr>
        <w:t> </w:t>
      </w:r>
      <w:r w:rsidRPr="00D14DE3">
        <w:rPr>
          <w:rFonts w:ascii="Garamond" w:hAnsi="Garamond"/>
        </w:rPr>
        <w:t>A</w:t>
      </w:r>
      <w:r>
        <w:rPr>
          <w:rFonts w:ascii="Garamond" w:hAnsi="Garamond"/>
        </w:rPr>
        <w:t> </w:t>
      </w:r>
      <w:r w:rsidRPr="00D14DE3">
        <w:rPr>
          <w:rFonts w:ascii="Garamond" w:hAnsi="Garamond"/>
        </w:rPr>
        <w:t>51/2021</w:t>
      </w:r>
      <w:r>
        <w:rPr>
          <w:rFonts w:ascii="Garamond" w:hAnsi="Garamond"/>
        </w:rPr>
        <w:t> - </w:t>
      </w:r>
      <w:r w:rsidRPr="00D14DE3">
        <w:rPr>
          <w:rFonts w:ascii="Garamond" w:hAnsi="Garamond"/>
        </w:rPr>
        <w:t>18</w:t>
      </w:r>
      <w:r w:rsidRPr="00D14DE3">
        <w:rPr>
          <w:rFonts w:ascii="Garamond" w:hAnsi="Garamond"/>
          <w:snapToGrid w:val="0"/>
        </w:rPr>
        <w:t>,</w:t>
      </w:r>
      <w:r w:rsidRPr="00D14DE3">
        <w:rPr>
          <w:rFonts w:ascii="Garamond" w:hAnsi="Garamond"/>
          <w:b/>
          <w:spacing w:val="60"/>
        </w:rPr>
        <w:t xml:space="preserve"> se</w:t>
      </w:r>
      <w:r>
        <w:rPr>
          <w:rFonts w:ascii="Garamond" w:hAnsi="Garamond"/>
          <w:b/>
          <w:spacing w:val="60"/>
        </w:rPr>
        <w:t> </w:t>
      </w:r>
      <w:r w:rsidRPr="00D14DE3">
        <w:rPr>
          <w:rFonts w:ascii="Garamond" w:hAnsi="Garamond"/>
          <w:b/>
          <w:spacing w:val="60"/>
        </w:rPr>
        <w:t xml:space="preserve">ruší </w:t>
      </w:r>
      <w:r w:rsidRPr="00D14DE3">
        <w:rPr>
          <w:rFonts w:ascii="Garamond" w:hAnsi="Garamond"/>
          <w:snapToGrid w:val="0"/>
        </w:rPr>
        <w:t>a věc</w:t>
      </w:r>
      <w:r w:rsidRPr="00D14DE3">
        <w:rPr>
          <w:rFonts w:ascii="Garamond" w:hAnsi="Garamond"/>
          <w:b/>
          <w:spacing w:val="60"/>
        </w:rPr>
        <w:t xml:space="preserve"> se vrací </w:t>
      </w:r>
      <w:r w:rsidRPr="00D14DE3">
        <w:rPr>
          <w:rFonts w:ascii="Garamond" w:hAnsi="Garamond"/>
          <w:snapToGrid w:val="0"/>
        </w:rPr>
        <w:t>tomuto soudu k dalšímu řízení.</w:t>
      </w:r>
    </w:p>
    <w:p w14:paraId="6737B7F4" w14:textId="77777777" w:rsidR="00D14DE3" w:rsidRDefault="00D14DE3" w:rsidP="00D14DE3">
      <w:pPr>
        <w:jc w:val="both"/>
        <w:rPr>
          <w:rFonts w:ascii="Garamond" w:hAnsi="Garamond"/>
          <w:snapToGrid w:val="0"/>
        </w:rPr>
      </w:pPr>
    </w:p>
    <w:p w14:paraId="6737B7F5" w14:textId="77777777" w:rsidR="00D14DE3" w:rsidRPr="00D14DE3" w:rsidRDefault="00D14DE3" w:rsidP="00D14DE3">
      <w:pPr>
        <w:jc w:val="both"/>
        <w:rPr>
          <w:rFonts w:ascii="Garamond" w:hAnsi="Garamond"/>
          <w:b/>
          <w:spacing w:val="60"/>
        </w:rPr>
      </w:pPr>
    </w:p>
    <w:p w14:paraId="6737B7F6" w14:textId="77777777" w:rsidR="00D14DE3" w:rsidRDefault="00D14DE3" w:rsidP="00D14DE3">
      <w:pPr>
        <w:jc w:val="center"/>
        <w:rPr>
          <w:rFonts w:ascii="Garamond" w:hAnsi="Garamond"/>
          <w:b/>
          <w:spacing w:val="60"/>
        </w:rPr>
      </w:pPr>
      <w:r w:rsidRPr="00D14DE3">
        <w:rPr>
          <w:rFonts w:ascii="Garamond" w:hAnsi="Garamond"/>
          <w:b/>
          <w:spacing w:val="60"/>
        </w:rPr>
        <w:t>Odůvodnění:</w:t>
      </w:r>
    </w:p>
    <w:p w14:paraId="6737B7F7" w14:textId="77777777" w:rsidR="00D14DE3" w:rsidRDefault="00D14DE3" w:rsidP="00D14DE3">
      <w:pPr>
        <w:jc w:val="center"/>
        <w:rPr>
          <w:rFonts w:ascii="Garamond" w:hAnsi="Garamond"/>
          <w:b/>
          <w:spacing w:val="60"/>
        </w:rPr>
      </w:pPr>
    </w:p>
    <w:p w14:paraId="6737B7F8" w14:textId="77777777" w:rsidR="00D14DE3" w:rsidRDefault="00D14DE3" w:rsidP="00D14DE3">
      <w:pPr>
        <w:jc w:val="center"/>
        <w:rPr>
          <w:rFonts w:ascii="Garamond" w:hAnsi="Garamond"/>
          <w:b/>
          <w:spacing w:val="60"/>
        </w:rPr>
      </w:pPr>
    </w:p>
    <w:p w14:paraId="6737B7F9" w14:textId="77777777" w:rsidR="00D14DE3" w:rsidRPr="00D14DE3" w:rsidRDefault="00D14DE3" w:rsidP="00D14DE3">
      <w:pPr>
        <w:jc w:val="center"/>
        <w:rPr>
          <w:rFonts w:ascii="Garamond" w:hAnsi="Garamond"/>
          <w:b/>
        </w:rPr>
      </w:pPr>
      <w:r w:rsidRPr="00D14DE3">
        <w:rPr>
          <w:rFonts w:ascii="Garamond" w:hAnsi="Garamond"/>
          <w:b/>
        </w:rPr>
        <w:t>I.</w:t>
      </w:r>
    </w:p>
    <w:p w14:paraId="6737B7FA" w14:textId="77777777" w:rsidR="00D14DE3" w:rsidRDefault="00D14DE3" w:rsidP="00D14DE3">
      <w:pPr>
        <w:keepNext/>
        <w:tabs>
          <w:tab w:val="center" w:pos="284"/>
        </w:tabs>
        <w:contextualSpacing/>
        <w:jc w:val="center"/>
        <w:rPr>
          <w:rFonts w:ascii="Garamond" w:hAnsi="Garamond"/>
          <w:b/>
          <w:u w:val="single"/>
        </w:rPr>
      </w:pPr>
      <w:r w:rsidRPr="00D14DE3">
        <w:rPr>
          <w:rFonts w:ascii="Garamond" w:hAnsi="Garamond"/>
          <w:b/>
          <w:u w:val="single"/>
        </w:rPr>
        <w:t xml:space="preserve">Průběh dosavadního řízení </w:t>
      </w:r>
    </w:p>
    <w:p w14:paraId="6737B7FB" w14:textId="77777777" w:rsidR="00D14DE3" w:rsidRPr="00D14DE3" w:rsidRDefault="00D14DE3" w:rsidP="00D14DE3">
      <w:pPr>
        <w:keepNext/>
        <w:tabs>
          <w:tab w:val="center" w:pos="284"/>
        </w:tabs>
        <w:contextualSpacing/>
        <w:jc w:val="center"/>
        <w:rPr>
          <w:rFonts w:ascii="Garamond" w:hAnsi="Garamond"/>
          <w:b/>
          <w:u w:val="single"/>
        </w:rPr>
      </w:pPr>
    </w:p>
    <w:p w14:paraId="6737B7FC" w14:textId="77777777" w:rsidR="00D14DE3" w:rsidRPr="00D14DE3" w:rsidRDefault="00D14DE3" w:rsidP="00D14DE3">
      <w:pPr>
        <w:numPr>
          <w:ilvl w:val="0"/>
          <w:numId w:val="47"/>
        </w:numPr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Žalobce se podanou kasační stížností domáhá zrušení výše uvedeného usnesení Městského soudu v Praze, jímž byly zamítnuty jeho žádost o osvobození od soudních poplatků a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návrh na ustanovení zástupce v řízení o žalobě.</w:t>
      </w:r>
    </w:p>
    <w:p w14:paraId="6737B7FD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Žalobce se žalobou podanou u Městského soudu v Praze dne 7.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5.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2021 domáhal ochrany před tvrzenou nečinností žalované a s žalobou spojil žádost o osvobození od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soudních poplatků a návrh na ustanovení zástupce.</w:t>
      </w:r>
    </w:p>
    <w:p w14:paraId="6737B7FE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Z obsahu podané žaloby a z vlastní úřední činnosti městský soud zjistil, že žalobce podáním ze dne 12. 8. 2020 u Městského soudu v Praze brojil proti sdělení žalované ze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dne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23.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6.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2020, č. j. VS-99970-10/ČJ-2020-800040-INFZ, kterým byly žalobci poskytnuty informace mj. o výměře cely 301 v oddělení 5A ve Věznici Mírov. Žalobce namítal, že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informace, kterou žalovaná uvádí, není pravdivá, a předložil soudu své vlastní výpočty výměry cely, na jejichž základě měl za to, že skutečná plocha této cely je menší, než žalovaná žalobci sdělila. Městský soud v Praze dospěl k závěru, že předmětné podání je po obsahové stránce stížností podle § 16a odst. 1 písm. c) zákona č. 106/1999 Sb., o svobodném přístupu k informacím, v relevantním znění (dále jen „zákon o svobodném přístupu k informacím“), proti sdělení žalované ze dne 23.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6. 2020, č. j. VS-99970-10/ČJ-2020-800040-INFZ. Proto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 xml:space="preserve">usnesením ze dne 29. 9. 2020, </w:t>
      </w:r>
      <w:r w:rsidRPr="00D14DE3">
        <w:rPr>
          <w:rFonts w:ascii="Garamond" w:hAnsi="Garamond"/>
        </w:rPr>
        <w:lastRenderedPageBreak/>
        <w:t>č. j.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10 A 89/2020 - 20, žalobu dle § 46 odst. 5 s.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ř.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s. odmítl a věc postoupil jako uvedenou stížnost žalované s tím, že právní účinky podání zůstávají zachovány. Podstatou žaloby podané v nyní posuzované věci, která prozatím neobsahuje jednoznačný žalobní petit, bylo tvrzení žalobce, že žalovaná na postoupenou stížnost dosud nereagovala.</w:t>
      </w:r>
    </w:p>
    <w:p w14:paraId="6737B7FF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Žalobce doložil městskému soudu k jeho výzvě prohlášení o svých majetkových a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výdělkových poměrech, napadeným usnesením byla však jeho žádost o osvobození od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soudních poplatků a návrh na ustanovení zástupce pro řízení o žalobě zamítnuty. Podle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městského soudu žalobce tvrdil, že splnil základní podmínky pro osvobození od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soudních poplatků, zejména doložil svou nemajetnost, což vyplývá z jím uvedených údajů v prohlášení o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majetkových a výdělkových poměrech. Městský soud v Praze však dle svého vyjádření postupoval v souladu s rozsudkem Nejvyššího správního soudu ze dne 26.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10.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2011, č. j.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7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As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 xml:space="preserve">101/2011 – 66, publ. </w:t>
      </w:r>
      <w:proofErr w:type="gramStart"/>
      <w:r w:rsidRPr="00D14DE3">
        <w:rPr>
          <w:rFonts w:ascii="Garamond" w:hAnsi="Garamond"/>
        </w:rPr>
        <w:t>pod</w:t>
      </w:r>
      <w:proofErr w:type="gramEnd"/>
      <w:r w:rsidRPr="00D14DE3">
        <w:rPr>
          <w:rFonts w:ascii="Garamond" w:hAnsi="Garamond"/>
        </w:rPr>
        <w:t xml:space="preserve"> č. 2601/2012 Sb. NSS</w:t>
      </w:r>
      <w:r w:rsidRPr="00D14DE3">
        <w:rPr>
          <w:rFonts w:ascii="Garamond" w:eastAsia="Calibri" w:hAnsi="Garamond" w:cs="Garamond"/>
        </w:rPr>
        <w:t xml:space="preserve"> (</w:t>
      </w:r>
      <w:r w:rsidRPr="00D14DE3">
        <w:rPr>
          <w:rFonts w:ascii="Garamond" w:hAnsi="Garamond"/>
        </w:rPr>
        <w:t>všechna zde citovaná</w:t>
      </w:r>
      <w:r w:rsidRPr="00D14DE3">
        <w:rPr>
          <w:rFonts w:ascii="Garamond" w:eastAsia="Calibri" w:hAnsi="Garamond"/>
        </w:rPr>
        <w:t xml:space="preserve"> rozhodnutí</w:t>
      </w:r>
      <w:r w:rsidR="007133B5">
        <w:rPr>
          <w:rFonts w:ascii="Garamond" w:eastAsia="Calibri" w:hAnsi="Garamond"/>
        </w:rPr>
        <w:t> </w:t>
      </w:r>
      <w:r w:rsidRPr="00D14DE3">
        <w:rPr>
          <w:rFonts w:ascii="Garamond" w:eastAsia="Calibri" w:hAnsi="Garamond"/>
        </w:rPr>
        <w:t>Nejvyššího správního soudu jsou dostupná též na www.nssoud.cz)</w:t>
      </w:r>
      <w:r w:rsidRPr="00D14DE3">
        <w:rPr>
          <w:rFonts w:ascii="Garamond" w:hAnsi="Garamond"/>
        </w:rPr>
        <w:t>, dle kterého „</w:t>
      </w:r>
      <w:r w:rsidRPr="00D14DE3">
        <w:rPr>
          <w:rFonts w:ascii="Garamond" w:hAnsi="Garamond"/>
          <w:i/>
        </w:rPr>
        <w:t>[i]</w:t>
      </w:r>
      <w:r w:rsidR="007133B5">
        <w:rPr>
          <w:rFonts w:ascii="Garamond" w:hAnsi="Garamond"/>
          <w:i/>
        </w:rPr>
        <w:t> </w:t>
      </w:r>
      <w:r w:rsidRPr="00D14DE3">
        <w:rPr>
          <w:rFonts w:ascii="Garamond" w:hAnsi="Garamond"/>
          <w:i/>
        </w:rPr>
        <w:t>když</w:t>
      </w:r>
      <w:r w:rsidR="007133B5">
        <w:rPr>
          <w:rFonts w:ascii="Garamond" w:hAnsi="Garamond"/>
          <w:i/>
        </w:rPr>
        <w:t> </w:t>
      </w:r>
      <w:r w:rsidRPr="00D14DE3">
        <w:rPr>
          <w:rFonts w:ascii="Garamond" w:hAnsi="Garamond"/>
          <w:i/>
        </w:rPr>
        <w:t>účastník je nemajetný, takže by zásadně bylo namístě přiznat mu osvobození od soudních poplatků (§</w:t>
      </w:r>
      <w:r w:rsidR="008A05FF">
        <w:rPr>
          <w:rFonts w:ascii="Garamond" w:hAnsi="Garamond"/>
          <w:i/>
        </w:rPr>
        <w:t> </w:t>
      </w:r>
      <w:r w:rsidRPr="00D14DE3">
        <w:rPr>
          <w:rFonts w:ascii="Garamond" w:hAnsi="Garamond"/>
          <w:i/>
        </w:rPr>
        <w:t>36 odst. 3 s. ř. s.), může mu soud výjimečně toto dobrodiní odepřít, a to zejména pro povahu sporu či sporů, které účastník vede</w:t>
      </w:r>
      <w:r w:rsidRPr="00D14DE3">
        <w:rPr>
          <w:rFonts w:ascii="Garamond" w:hAnsi="Garamond"/>
        </w:rPr>
        <w:t>“.</w:t>
      </w:r>
    </w:p>
    <w:p w14:paraId="6737B800" w14:textId="77777777" w:rsid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Svůj závěr městský soud odůvodnil tím, že při posouzení žádosti žalobce o osvobození od soudních poplatků přihlédl k tomu, že k uvedenému soudu v období od roku 2017 do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současnosti napadlo celkem osmnáct žalob podaných žalobcem, pět z nich mířilo proti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žalované, přičemž například žalobou vedenou u městského soudu pod sp. zn. 3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A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5/2019 byla namítána nečinnost žalované v deseti různých řízeních o žádostech žalobce podle zákona o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svobodném přístupu k informacím. Součástí žalob byly vždy i žádosti žalobce o osvobození od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soudních poplatků a ustanovení zástupce. Procesní aktivita žalobce se tak soudu jeví spíše jako neuvážené nadužívání institutu osvobození od soudních poplatků k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tomu, aby bezplatně vedl spory podle své libosti. Z citovaného rozsudku Nejvyššího správního soudu ze dne 26.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10.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2011, č. j. 7 As 101/2011 – 66, vyplývá, že „</w:t>
      </w:r>
      <w:r w:rsidRPr="00D14DE3">
        <w:rPr>
          <w:rFonts w:ascii="Garamond" w:hAnsi="Garamond"/>
          <w:i/>
        </w:rPr>
        <w:t>[o]</w:t>
      </w:r>
      <w:proofErr w:type="spellStart"/>
      <w:r w:rsidRPr="00D14DE3">
        <w:rPr>
          <w:rFonts w:ascii="Garamond" w:hAnsi="Garamond"/>
          <w:i/>
        </w:rPr>
        <w:t>svobození</w:t>
      </w:r>
      <w:proofErr w:type="spellEnd"/>
      <w:r w:rsidRPr="00D14DE3">
        <w:rPr>
          <w:rFonts w:ascii="Garamond" w:hAnsi="Garamond"/>
          <w:i/>
        </w:rPr>
        <w:t xml:space="preserve"> od</w:t>
      </w:r>
      <w:r w:rsidR="007133B5">
        <w:rPr>
          <w:rFonts w:ascii="Garamond" w:hAnsi="Garamond"/>
          <w:i/>
        </w:rPr>
        <w:t> </w:t>
      </w:r>
      <w:r w:rsidRPr="00D14DE3">
        <w:rPr>
          <w:rFonts w:ascii="Garamond" w:hAnsi="Garamond"/>
          <w:i/>
        </w:rPr>
        <w:t>soudních poplatků nemá být institutem umožňujícím chudým osobám vést bezplatně spory podle své libosti</w:t>
      </w:r>
      <w:r w:rsidRPr="00D14DE3">
        <w:rPr>
          <w:rFonts w:ascii="Garamond" w:hAnsi="Garamond"/>
        </w:rPr>
        <w:t>“, nýbrž zajistit, aby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v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případech, kdy nemají dostatek prostředků, a přitom je na místě, aby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soudní spor vedly, jim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nedostatek prostředků nebránil v účinné soudní ochraně. Městský soud dospěl k závěru, že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v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daném případě je na místě výjimečně odepřít žalobci dobrodiní institutu osvobození od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soudních poplatků, a žádost žalobce o osvobození od soudních poplatků proto zamítl. S ohledem na skutečnost, že v případě žalobce nabyla splněna podmínka pro osvobození od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soudních poplatků, tedy jedna z kumulativně stanovených podmínek pro ustanovení zástupce, soud zamítl rovněž návrh žalobce na ustanovení zástupce z řad advokátů.</w:t>
      </w:r>
    </w:p>
    <w:p w14:paraId="6737B801" w14:textId="77777777" w:rsidR="00D14DE3" w:rsidRPr="00D14DE3" w:rsidRDefault="00D14DE3" w:rsidP="00D14DE3">
      <w:pPr>
        <w:spacing w:before="240"/>
        <w:jc w:val="center"/>
        <w:rPr>
          <w:rFonts w:ascii="Garamond" w:hAnsi="Garamond"/>
          <w:b/>
        </w:rPr>
      </w:pPr>
      <w:r w:rsidRPr="00D14DE3">
        <w:rPr>
          <w:rFonts w:ascii="Garamond" w:hAnsi="Garamond"/>
          <w:b/>
        </w:rPr>
        <w:t>II.</w:t>
      </w:r>
    </w:p>
    <w:p w14:paraId="6737B802" w14:textId="77777777" w:rsidR="00D14DE3" w:rsidRDefault="00D14DE3" w:rsidP="00D14DE3">
      <w:pPr>
        <w:keepNext/>
        <w:tabs>
          <w:tab w:val="left" w:pos="284"/>
        </w:tabs>
        <w:contextualSpacing/>
        <w:jc w:val="center"/>
        <w:rPr>
          <w:rFonts w:ascii="Garamond" w:hAnsi="Garamond"/>
          <w:b/>
          <w:u w:val="single"/>
        </w:rPr>
      </w:pPr>
      <w:r w:rsidRPr="00D14DE3">
        <w:rPr>
          <w:rFonts w:ascii="Garamond" w:hAnsi="Garamond"/>
          <w:b/>
          <w:u w:val="single"/>
        </w:rPr>
        <w:t>Obsah kasační stížnosti a vyjádření žalované</w:t>
      </w:r>
    </w:p>
    <w:p w14:paraId="6737B803" w14:textId="77777777" w:rsidR="00D14DE3" w:rsidRPr="00D14DE3" w:rsidRDefault="00D14DE3" w:rsidP="00D14DE3">
      <w:pPr>
        <w:keepNext/>
        <w:tabs>
          <w:tab w:val="left" w:pos="284"/>
        </w:tabs>
        <w:contextualSpacing/>
        <w:rPr>
          <w:rFonts w:ascii="Garamond" w:hAnsi="Garamond"/>
          <w:b/>
          <w:u w:val="single"/>
        </w:rPr>
      </w:pPr>
    </w:p>
    <w:p w14:paraId="6737B804" w14:textId="77777777" w:rsidR="00D14DE3" w:rsidRPr="00D14DE3" w:rsidRDefault="00D14DE3" w:rsidP="00D14DE3">
      <w:pPr>
        <w:numPr>
          <w:ilvl w:val="0"/>
          <w:numId w:val="47"/>
        </w:numPr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Žalobce (stěžovatel) napadá usnesení městského soudu, neboť jeho závěry o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nadužívání osvobození od soudních poplatků považuje za absurdní. Pokud by žalovaná postupovala dle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zákona, neměl by stěžovatel důvod k podání žaloby. Městský soud tak dle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 xml:space="preserve">žalobce rezignoval na poskytování efektivní ochrany před nečinností správního orgánu, který zjevně ignoruje pokyny stanovené v předcházejícím rozhodnutí městského soudu. </w:t>
      </w:r>
    </w:p>
    <w:p w14:paraId="6737B805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Stěžovatel uvedl, že žalovaná dle jeho názoru porušuje jeho právo na důstojný výkon trestu, jestliže jej nutí žít na pouhých 2,95 m</w:t>
      </w:r>
      <w:r w:rsidRPr="00D14DE3">
        <w:rPr>
          <w:rFonts w:ascii="Garamond" w:hAnsi="Garamond"/>
          <w:vertAlign w:val="superscript"/>
        </w:rPr>
        <w:t>2</w:t>
      </w:r>
      <w:r w:rsidRPr="00D14DE3">
        <w:rPr>
          <w:rFonts w:ascii="Garamond" w:hAnsi="Garamond"/>
        </w:rPr>
        <w:t>, když umisťuje osm vězňů na celu o výměře 23,66 m</w:t>
      </w:r>
      <w:r w:rsidRPr="00D14DE3">
        <w:rPr>
          <w:rFonts w:ascii="Garamond" w:hAnsi="Garamond"/>
          <w:vertAlign w:val="superscript"/>
        </w:rPr>
        <w:t>2</w:t>
      </w:r>
      <w:r w:rsidRPr="00D14DE3">
        <w:rPr>
          <w:rFonts w:ascii="Garamond" w:hAnsi="Garamond"/>
        </w:rPr>
        <w:t xml:space="preserve"> a uvádí nesprávné údaje o její výměře. Nelze tedy dle stěžovatele tvrdit, že jde o jeho libovůli vést soudní spory, když dochází k systematickému porušování čl. 3 Úmluvy o ochraně lidských práv a základních svobod.</w:t>
      </w:r>
    </w:p>
    <w:p w14:paraId="6737B806" w14:textId="77777777" w:rsid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lastRenderedPageBreak/>
        <w:t>Žalovaná ve vyjádření ke kasační stížnosti uvedla, že napadené usnesení jí nebylo doručováno a k věci se nemůže vyjádřit, neboť s ohledem na povahu napadeného usnesení se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jí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toto rozhodnutí netýká.</w:t>
      </w:r>
    </w:p>
    <w:p w14:paraId="6737B807" w14:textId="77777777" w:rsidR="007133B5" w:rsidRDefault="007133B5" w:rsidP="007133B5">
      <w:pPr>
        <w:jc w:val="both"/>
        <w:rPr>
          <w:rFonts w:ascii="Garamond" w:hAnsi="Garamond"/>
        </w:rPr>
      </w:pPr>
    </w:p>
    <w:p w14:paraId="6737B808" w14:textId="77777777" w:rsidR="00D14DE3" w:rsidRPr="00D14DE3" w:rsidRDefault="00D14DE3" w:rsidP="00D14DE3">
      <w:pPr>
        <w:keepNext/>
        <w:tabs>
          <w:tab w:val="center" w:pos="426"/>
        </w:tabs>
        <w:contextualSpacing/>
        <w:jc w:val="center"/>
        <w:rPr>
          <w:rFonts w:ascii="Garamond" w:hAnsi="Garamond"/>
          <w:b/>
        </w:rPr>
      </w:pPr>
      <w:r w:rsidRPr="00D14DE3">
        <w:rPr>
          <w:rFonts w:ascii="Garamond" w:hAnsi="Garamond"/>
          <w:b/>
        </w:rPr>
        <w:t>III.</w:t>
      </w:r>
    </w:p>
    <w:p w14:paraId="6737B809" w14:textId="77777777" w:rsidR="00D14DE3" w:rsidRDefault="00D14DE3" w:rsidP="00D14DE3">
      <w:pPr>
        <w:keepNext/>
        <w:tabs>
          <w:tab w:val="center" w:pos="426"/>
        </w:tabs>
        <w:contextualSpacing/>
        <w:jc w:val="center"/>
        <w:rPr>
          <w:rFonts w:ascii="Garamond" w:hAnsi="Garamond"/>
          <w:b/>
          <w:u w:val="single"/>
        </w:rPr>
      </w:pPr>
      <w:r w:rsidRPr="00D14DE3">
        <w:rPr>
          <w:rFonts w:ascii="Garamond" w:hAnsi="Garamond"/>
          <w:b/>
          <w:u w:val="single"/>
        </w:rPr>
        <w:t xml:space="preserve">Posouzení věci Nejvyšším správním soudem </w:t>
      </w:r>
    </w:p>
    <w:p w14:paraId="6737B80A" w14:textId="77777777" w:rsidR="00D14DE3" w:rsidRPr="00D14DE3" w:rsidRDefault="00D14DE3" w:rsidP="00D14DE3">
      <w:pPr>
        <w:keepNext/>
        <w:tabs>
          <w:tab w:val="center" w:pos="426"/>
        </w:tabs>
        <w:contextualSpacing/>
        <w:jc w:val="center"/>
        <w:rPr>
          <w:rFonts w:ascii="Garamond" w:hAnsi="Garamond"/>
          <w:b/>
          <w:u w:val="single"/>
        </w:rPr>
      </w:pPr>
    </w:p>
    <w:p w14:paraId="6737B80B" w14:textId="77777777" w:rsidR="00D14DE3" w:rsidRPr="00D14DE3" w:rsidRDefault="00D14DE3" w:rsidP="00D14DE3">
      <w:pPr>
        <w:numPr>
          <w:ilvl w:val="0"/>
          <w:numId w:val="47"/>
        </w:numPr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Nejvyšší správní soud posoudil formální náležitosti kasační stížnosti a shledal, že kasační stížnost je podána včas, neboť byla podána ve lhůtě dvou týdnů od doručení napadeného rozhodnutí městského soudu (§ 106 odst. 2 s. ř. s.) a je podána oprávněnou osobou, neboť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stěžovatel je účastníkem řízení, z něhož napadené rozhodnutí městského soudu vzešlo (§ 102 s. ř. s.).</w:t>
      </w:r>
    </w:p>
    <w:p w14:paraId="6737B80C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Pokud jde o podmínku zaplacení soudního poplatku za danou kasační stížnost, Nejvyšší správní soud již v usnesení rozšířeného senátu ze dne 9. 6. 2015, č. j. 1 As 196/2014 – 19, publ.</w:t>
      </w:r>
      <w:r w:rsidR="008A05FF">
        <w:rPr>
          <w:rFonts w:ascii="Garamond" w:hAnsi="Garamond"/>
        </w:rPr>
        <w:t> </w:t>
      </w:r>
      <w:proofErr w:type="gramStart"/>
      <w:r w:rsidRPr="00D14DE3">
        <w:rPr>
          <w:rFonts w:ascii="Garamond" w:hAnsi="Garamond"/>
        </w:rPr>
        <w:t>pod</w:t>
      </w:r>
      <w:proofErr w:type="gramEnd"/>
      <w:r w:rsidRPr="00D14DE3">
        <w:rPr>
          <w:rFonts w:ascii="Garamond" w:hAnsi="Garamond"/>
        </w:rPr>
        <w:t xml:space="preserve"> č. 3271/2015 Sb. NSS, dospěl k následujícímu závěru: „S</w:t>
      </w:r>
      <w:r w:rsidRPr="00D14DE3">
        <w:rPr>
          <w:rFonts w:ascii="Garamond" w:hAnsi="Garamond"/>
          <w:i/>
        </w:rPr>
        <w:t>těžovatel má povinnost zaplatit poplatek za řízení o kasační stížnosti jen tehdy, pokud kasační stížnost směřuje proti rozhodnutí krajského soudu o návrhu ve věci samé (o žalobě), či o jiném návrhu, jehož podání je</w:t>
      </w:r>
      <w:r w:rsidR="007133B5">
        <w:rPr>
          <w:rFonts w:ascii="Garamond" w:hAnsi="Garamond"/>
          <w:i/>
        </w:rPr>
        <w:t> </w:t>
      </w:r>
      <w:r w:rsidRPr="00D14DE3">
        <w:rPr>
          <w:rFonts w:ascii="Garamond" w:hAnsi="Garamond"/>
          <w:i/>
        </w:rPr>
        <w:t>spojeno s poplatkovou povinností [§ 1 písm. a), § 2 odst. 2 písm. b) a § 4 odst. 1 písm. d) zákona č.</w:t>
      </w:r>
      <w:r w:rsidR="007133B5">
        <w:rPr>
          <w:rFonts w:ascii="Garamond" w:hAnsi="Garamond"/>
          <w:i/>
        </w:rPr>
        <w:t> </w:t>
      </w:r>
      <w:r w:rsidRPr="00D14DE3">
        <w:rPr>
          <w:rFonts w:ascii="Garamond" w:hAnsi="Garamond"/>
          <w:i/>
        </w:rPr>
        <w:t>549/1991 Sb., o soudních poplatcích].</w:t>
      </w:r>
      <w:r w:rsidRPr="00D14DE3">
        <w:rPr>
          <w:rFonts w:ascii="Garamond" w:hAnsi="Garamond"/>
        </w:rPr>
        <w:t>“ V  této věci však nebylo napadeným usnesením rozhodováno o návrhu ve věci samé, jelikož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se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jedná o procesní rozhodnutí učiněné v řízení o žalobě, jímž se toto řízení nekončí. Z citovaného usnesení rozšířeného senátu současně plyne, že ač je jinak povinné zastoupení stěžovatele bez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příslušného právnického vzdělání v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řízení o kasační stížnosti obligatorní, ani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§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105 odst.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2 s. ř. s. se v případě řízení o kasační stížnosti směřující proti procesnímu rozhodnutí krajského (městského) soudu, jímž se řízení o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 xml:space="preserve">žalobě nekončí, neuplatní. V daném případě tak ani podmínka povinného zastoupení stěžovatele advokátem splněna být nemusí. </w:t>
      </w:r>
    </w:p>
    <w:p w14:paraId="6737B80D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Nejvyšší správní soud následně přezkoumal napadené usnesení městského soudu v mezích rozsahu kasační stížnosti a uplatněných důvodů, přičemž zkoumal, zda rozhodnutí netrpí vadami, k nimž by musel přihlédnout z úřední povinnosti (§ 109 odst. 3 a 4 s. ř. s.), a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dospěl k závěru, že kasační stížnost je důvodná.</w:t>
      </w:r>
    </w:p>
    <w:p w14:paraId="6737B80E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V posuzované věci brojí stěžovatel proti neosvobození od soudních poplatků a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zamítnutí návrhu na ustanovení zástupce z řad advokátů.</w:t>
      </w:r>
    </w:p>
    <w:p w14:paraId="6737B80F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  <w:color w:val="000000"/>
        </w:rPr>
        <w:t>Individuální osvobození od soudních poplatků je procesní institut, jehož účelem je zejména ochrana účastníka, který se nachází v tíživých poměrech, před nepřiměřeně tvrdým dopadem zákona č. 549/1991 Sb., o soudních poplatcích. Tento druh osvobození od</w:t>
      </w:r>
      <w:r w:rsidR="007133B5">
        <w:rPr>
          <w:rFonts w:ascii="Garamond" w:hAnsi="Garamond"/>
          <w:color w:val="000000"/>
        </w:rPr>
        <w:t> </w:t>
      </w:r>
      <w:r w:rsidRPr="00D14DE3">
        <w:rPr>
          <w:rFonts w:ascii="Garamond" w:hAnsi="Garamond"/>
          <w:color w:val="000000"/>
        </w:rPr>
        <w:t>soudních poplatků je upraven v § 36 odst. 3 s. ř. s.: „</w:t>
      </w:r>
      <w:r w:rsidRPr="00D14DE3">
        <w:rPr>
          <w:rFonts w:ascii="Garamond" w:hAnsi="Garamond"/>
          <w:i/>
          <w:color w:val="000000"/>
        </w:rPr>
        <w:t>Účastník, který doloží, že nemá dostatečné prostředky, může</w:t>
      </w:r>
      <w:r w:rsidR="008A05FF">
        <w:rPr>
          <w:rFonts w:ascii="Garamond" w:hAnsi="Garamond"/>
          <w:i/>
          <w:color w:val="000000"/>
        </w:rPr>
        <w:t> </w:t>
      </w:r>
      <w:r w:rsidRPr="00D14DE3">
        <w:rPr>
          <w:rFonts w:ascii="Garamond" w:hAnsi="Garamond"/>
          <w:i/>
          <w:color w:val="000000"/>
        </w:rPr>
        <w:t>být na vlastní žádost usnesením předsedy senátu zčásti osvobozen od soudních poplatků. Přiznat účastníkovi osvobození od soudních poplatků zcela lze pouze výjimečně, jsou-li pro to zvlášť závažné důvody, a</w:t>
      </w:r>
      <w:r w:rsidR="008A05FF">
        <w:rPr>
          <w:rFonts w:ascii="Garamond" w:hAnsi="Garamond"/>
          <w:i/>
          <w:color w:val="000000"/>
        </w:rPr>
        <w:t> </w:t>
      </w:r>
      <w:r w:rsidRPr="00D14DE3">
        <w:rPr>
          <w:rFonts w:ascii="Garamond" w:hAnsi="Garamond"/>
          <w:i/>
          <w:color w:val="000000"/>
        </w:rPr>
        <w:t>toto</w:t>
      </w:r>
      <w:r w:rsidR="008A05FF">
        <w:rPr>
          <w:rFonts w:ascii="Garamond" w:hAnsi="Garamond"/>
          <w:i/>
          <w:color w:val="000000"/>
        </w:rPr>
        <w:t> </w:t>
      </w:r>
      <w:r w:rsidRPr="00D14DE3">
        <w:rPr>
          <w:rFonts w:ascii="Garamond" w:hAnsi="Garamond"/>
          <w:i/>
          <w:color w:val="000000"/>
        </w:rPr>
        <w:t>rozhodnutí musí být odůvodněno. Dospěje-li však soud k závěru, že návrh zjevně nemůže být úspěšný, takovou žádost zamítne. Přiznané osvobození kdykoliv za řízení odejme, popřípadě i se zpětnou účinností, jestliže</w:t>
      </w:r>
      <w:r w:rsidR="008A05FF">
        <w:rPr>
          <w:rFonts w:ascii="Garamond" w:hAnsi="Garamond"/>
          <w:i/>
          <w:color w:val="000000"/>
        </w:rPr>
        <w:t> </w:t>
      </w:r>
      <w:r w:rsidRPr="00D14DE3">
        <w:rPr>
          <w:rFonts w:ascii="Garamond" w:hAnsi="Garamond"/>
          <w:i/>
          <w:color w:val="000000"/>
        </w:rPr>
        <w:t>se do pravomocného skončení řízení ukáže, že poměry účastníka přiznané osvobození neodůvodňují, popřípadě neodůvodňovaly. Přiznané osvobození se vztahuje i na řízení o kasační stížnosti</w:t>
      </w:r>
      <w:r w:rsidRPr="00D14DE3">
        <w:rPr>
          <w:rFonts w:ascii="Garamond" w:hAnsi="Garamond"/>
          <w:color w:val="000000"/>
        </w:rPr>
        <w:t>.“</w:t>
      </w:r>
    </w:p>
    <w:p w14:paraId="6737B810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  <w:color w:val="000000"/>
        </w:rPr>
        <w:t>Z citovaného ustanovení vyplývá, že pro přiznání částečného osvobození od soudních</w:t>
      </w:r>
      <w:r w:rsidRPr="00D14DE3">
        <w:rPr>
          <w:rFonts w:ascii="Garamond" w:hAnsi="Garamond"/>
          <w:i/>
          <w:color w:val="000000"/>
        </w:rPr>
        <w:t xml:space="preserve"> </w:t>
      </w:r>
      <w:r w:rsidRPr="00D14DE3">
        <w:rPr>
          <w:rFonts w:ascii="Garamond" w:hAnsi="Garamond"/>
          <w:color w:val="000000"/>
        </w:rPr>
        <w:t>poplatků musí být splněny následující podmínky: účastník řízení požádal o osvobození, jeho</w:t>
      </w:r>
      <w:r w:rsidR="007133B5">
        <w:rPr>
          <w:rFonts w:ascii="Garamond" w:hAnsi="Garamond"/>
          <w:i/>
          <w:color w:val="000000"/>
        </w:rPr>
        <w:t> </w:t>
      </w:r>
      <w:r w:rsidRPr="00D14DE3">
        <w:rPr>
          <w:rFonts w:ascii="Garamond" w:hAnsi="Garamond"/>
          <w:color w:val="000000"/>
        </w:rPr>
        <w:t>návrh není zjevně neúspěšný a doložil nedostatek příjmů. Pro přiznání osvobození od</w:t>
      </w:r>
      <w:r w:rsidR="007133B5">
        <w:rPr>
          <w:rFonts w:ascii="Garamond" w:hAnsi="Garamond"/>
          <w:color w:val="000000"/>
        </w:rPr>
        <w:t> </w:t>
      </w:r>
      <w:r w:rsidRPr="00D14DE3">
        <w:rPr>
          <w:rFonts w:ascii="Garamond" w:hAnsi="Garamond"/>
          <w:color w:val="000000"/>
        </w:rPr>
        <w:t>soudních</w:t>
      </w:r>
      <w:r w:rsidRPr="00D14DE3">
        <w:rPr>
          <w:rFonts w:ascii="Garamond" w:hAnsi="Garamond"/>
          <w:i/>
          <w:color w:val="000000"/>
        </w:rPr>
        <w:t xml:space="preserve"> </w:t>
      </w:r>
      <w:r w:rsidRPr="00D14DE3">
        <w:rPr>
          <w:rFonts w:ascii="Garamond" w:hAnsi="Garamond"/>
          <w:color w:val="000000"/>
        </w:rPr>
        <w:t>poplatků v plném rozsahu musí navíc existovat zvlášť závažné důvody (srov.</w:t>
      </w:r>
      <w:r w:rsidR="008A05FF">
        <w:rPr>
          <w:rFonts w:ascii="Garamond" w:hAnsi="Garamond"/>
          <w:color w:val="000000"/>
        </w:rPr>
        <w:t> </w:t>
      </w:r>
      <w:r w:rsidRPr="00D14DE3">
        <w:rPr>
          <w:rFonts w:ascii="Garamond" w:hAnsi="Garamond"/>
          <w:color w:val="000000"/>
        </w:rPr>
        <w:t xml:space="preserve">usnesení Nejvyššího správního soudu ze dne 22. 5. 2014, č. j. 7 As 68/2014 – 50). </w:t>
      </w:r>
      <w:r w:rsidRPr="00D14DE3">
        <w:rPr>
          <w:rFonts w:ascii="Garamond" w:hAnsi="Garamond"/>
          <w:color w:val="000000"/>
        </w:rPr>
        <w:lastRenderedPageBreak/>
        <w:t>Smyslem</w:t>
      </w:r>
      <w:r w:rsidR="008A05FF">
        <w:rPr>
          <w:rFonts w:ascii="Garamond" w:hAnsi="Garamond"/>
          <w:color w:val="000000"/>
        </w:rPr>
        <w:t> </w:t>
      </w:r>
      <w:r w:rsidRPr="00D14DE3">
        <w:rPr>
          <w:rFonts w:ascii="Garamond" w:hAnsi="Garamond"/>
          <w:color w:val="000000"/>
        </w:rPr>
        <w:t>a účelem osvobození</w:t>
      </w:r>
      <w:r w:rsidRPr="00D14DE3">
        <w:rPr>
          <w:rFonts w:ascii="Garamond" w:hAnsi="Garamond"/>
          <w:i/>
          <w:color w:val="000000"/>
        </w:rPr>
        <w:t xml:space="preserve"> </w:t>
      </w:r>
      <w:r w:rsidRPr="00D14DE3">
        <w:rPr>
          <w:rFonts w:ascii="Garamond" w:hAnsi="Garamond"/>
          <w:color w:val="000000"/>
        </w:rPr>
        <w:t>od soudních poplatků je ochrana nemajetného účastníka řízení před odepřením přístupu k soudu.</w:t>
      </w:r>
    </w:p>
    <w:p w14:paraId="6737B811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  <w:color w:val="000000"/>
        </w:rPr>
        <w:t>Účelem osvobození od soudních poplatků naopak není „</w:t>
      </w:r>
      <w:proofErr w:type="spellStart"/>
      <w:r w:rsidRPr="00D14DE3">
        <w:rPr>
          <w:rFonts w:ascii="Garamond" w:hAnsi="Garamond"/>
          <w:color w:val="000000"/>
        </w:rPr>
        <w:t>odbřemenit</w:t>
      </w:r>
      <w:proofErr w:type="spellEnd"/>
      <w:r w:rsidRPr="00D14DE3">
        <w:rPr>
          <w:rFonts w:ascii="Garamond" w:hAnsi="Garamond"/>
          <w:color w:val="000000"/>
        </w:rPr>
        <w:t>“ nemajetné účastníky řízení ve všech soudních sporech, tedy ani v těch, které tito účastníci opakovaně a soustavně vyvolávají a které nemají zjevný dopad do jejich životní sféry. Jak totiž zdůraznil Nejvyšší správní soud v rozsudku ze dne 26. 10. 2011, č. j. 7 As 101/2011 – 66, na který odkázal městský soud, charakter vedeného sporu je nutno důkladně zvažovat s ohledem na zabránění zneužití institutu osvobození od soudních poplatků. Nejvyšší správní soud v tomto rozsudku dospěl k závěru, že „</w:t>
      </w:r>
      <w:r w:rsidRPr="00D14DE3">
        <w:rPr>
          <w:rFonts w:ascii="Garamond" w:hAnsi="Garamond"/>
          <w:i/>
          <w:color w:val="000000"/>
        </w:rPr>
        <w:t>[i] když účastník je nemajetný, takže by zásadně bylo namístě přiznat mu osvobození od</w:t>
      </w:r>
      <w:r w:rsidR="008A05FF">
        <w:rPr>
          <w:rFonts w:ascii="Garamond" w:hAnsi="Garamond"/>
          <w:i/>
          <w:color w:val="000000"/>
        </w:rPr>
        <w:t> </w:t>
      </w:r>
      <w:r w:rsidRPr="00D14DE3">
        <w:rPr>
          <w:rFonts w:ascii="Garamond" w:hAnsi="Garamond"/>
          <w:i/>
          <w:color w:val="000000"/>
        </w:rPr>
        <w:t>soudních poplatků (§ odst. 3 s. ř. s.), může mu soud výjimečně toto dobrodiní odepřít, a to zejména pro povahu sporu či sporů, které účastník vede. O výše uvedený případ se může jednat, vede-li účastník s různými veřejnými institucemi množství sporů týkajících se poskytování informací podle zákona č. 106/1999 Sb., o svobodném přístupu k informacím, které často pokračují jako spory soudní, a přitom nejde o spory mající vztah k podstatným okolnostem účastníkovy životní sféry (netýkají se, a to ani nepřímo, účastníkova majetku, životních podmínek či</w:t>
      </w:r>
      <w:r w:rsidR="008A05FF">
        <w:rPr>
          <w:rFonts w:ascii="Garamond" w:hAnsi="Garamond"/>
          <w:i/>
          <w:color w:val="000000"/>
        </w:rPr>
        <w:t> </w:t>
      </w:r>
      <w:r w:rsidRPr="00D14DE3">
        <w:rPr>
          <w:rFonts w:ascii="Garamond" w:hAnsi="Garamond"/>
          <w:i/>
          <w:color w:val="000000"/>
        </w:rPr>
        <w:t>jiných podobných záležitostí, nýbrž jde o spory vyvolané účastníkovým zájmem o veřejné záležitosti a fungování veřejných institucí)</w:t>
      </w:r>
      <w:r w:rsidRPr="00D14DE3">
        <w:rPr>
          <w:rFonts w:ascii="Garamond" w:hAnsi="Garamond"/>
          <w:color w:val="000000"/>
        </w:rPr>
        <w:t>“. V souvislosti s právem na poskytnutí informace dále zdejší soud konstatoval: „</w:t>
      </w:r>
      <w:r w:rsidRPr="00D14DE3">
        <w:rPr>
          <w:rFonts w:ascii="Garamond" w:hAnsi="Garamond"/>
          <w:i/>
          <w:color w:val="000000"/>
        </w:rPr>
        <w:t>Judikatura Nejvyššího správního soudu setrvale vychází z toho, že široce pojatý svobodný přístup k informacím ve veřejné sféře je</w:t>
      </w:r>
      <w:r w:rsidRPr="00D14DE3">
        <w:rPr>
          <w:rFonts w:ascii="Garamond" w:hAnsi="Garamond"/>
          <w:color w:val="000000"/>
        </w:rPr>
        <w:t xml:space="preserve"> </w:t>
      </w:r>
      <w:r w:rsidRPr="00D14DE3">
        <w:rPr>
          <w:rFonts w:ascii="Garamond" w:hAnsi="Garamond"/>
          <w:i/>
          <w:color w:val="000000"/>
        </w:rPr>
        <w:t>jednou z nejefektivnějších cest k transparenci veřejné moci, k její všestranné, účinné a kontinuální</w:t>
      </w:r>
      <w:r w:rsidRPr="00D14DE3">
        <w:rPr>
          <w:rFonts w:ascii="Garamond" w:hAnsi="Garamond"/>
          <w:color w:val="000000"/>
        </w:rPr>
        <w:t xml:space="preserve"> </w:t>
      </w:r>
      <w:r w:rsidRPr="00D14DE3">
        <w:rPr>
          <w:rFonts w:ascii="Garamond" w:hAnsi="Garamond"/>
          <w:i/>
          <w:color w:val="000000"/>
        </w:rPr>
        <w:t>veřejné kontrole a jedním z nástrojů snižujících možnosti jejího zneužívání. Na druhé straně však</w:t>
      </w:r>
      <w:r w:rsidRPr="00D14DE3">
        <w:rPr>
          <w:rFonts w:ascii="Garamond" w:hAnsi="Garamond"/>
          <w:color w:val="000000"/>
        </w:rPr>
        <w:t xml:space="preserve"> </w:t>
      </w:r>
      <w:r w:rsidRPr="00D14DE3">
        <w:rPr>
          <w:rFonts w:ascii="Garamond" w:hAnsi="Garamond"/>
          <w:i/>
          <w:color w:val="000000"/>
        </w:rPr>
        <w:t xml:space="preserve">nelze přehlédnout, že </w:t>
      </w:r>
      <w:proofErr w:type="spellStart"/>
      <w:r w:rsidRPr="00D14DE3">
        <w:rPr>
          <w:rFonts w:ascii="Garamond" w:hAnsi="Garamond"/>
          <w:i/>
          <w:color w:val="000000"/>
        </w:rPr>
        <w:t>kverulační</w:t>
      </w:r>
      <w:proofErr w:type="spellEnd"/>
      <w:r w:rsidRPr="00D14DE3">
        <w:rPr>
          <w:rFonts w:ascii="Garamond" w:hAnsi="Garamond"/>
          <w:i/>
          <w:color w:val="000000"/>
        </w:rPr>
        <w:t xml:space="preserve">, zjevně </w:t>
      </w:r>
      <w:proofErr w:type="spellStart"/>
      <w:r w:rsidRPr="00D14DE3">
        <w:rPr>
          <w:rFonts w:ascii="Garamond" w:hAnsi="Garamond"/>
          <w:i/>
          <w:color w:val="000000"/>
        </w:rPr>
        <w:t>šikanózní</w:t>
      </w:r>
      <w:proofErr w:type="spellEnd"/>
      <w:r w:rsidRPr="00D14DE3">
        <w:rPr>
          <w:rFonts w:ascii="Garamond" w:hAnsi="Garamond"/>
          <w:i/>
          <w:color w:val="000000"/>
        </w:rPr>
        <w:t>, či dokonce pracovní kapacitu orgánů veřejné</w:t>
      </w:r>
      <w:r w:rsidRPr="00D14DE3">
        <w:rPr>
          <w:rFonts w:ascii="Garamond" w:hAnsi="Garamond"/>
          <w:color w:val="000000"/>
        </w:rPr>
        <w:t xml:space="preserve"> </w:t>
      </w:r>
      <w:r w:rsidRPr="00D14DE3">
        <w:rPr>
          <w:rFonts w:ascii="Garamond" w:hAnsi="Garamond"/>
          <w:i/>
          <w:color w:val="000000"/>
        </w:rPr>
        <w:t>moci z různých důvodů cíleně paralyzující výkon tohoto práva může mít významné negativní důsledky, které za určitých okolností mohou popřít dokonce i smysl a účel práva na svobodný přístup k informacím. Jedním z nástrojů, jak zabránit zneužívání tohoto práva, a tím i jeho diskreditaci v očích veřejnosti i orgánů veřejné moci, proto musí být i citlivá regulace nadužívání tohoto práva v případech výše uvedených. Taková regulace může se za určitých okolností dít i cestou výjimečného odepření práva na osvobození od soudních poplatků.</w:t>
      </w:r>
      <w:r w:rsidRPr="00D14DE3">
        <w:rPr>
          <w:rFonts w:ascii="Garamond" w:hAnsi="Garamond"/>
          <w:color w:val="000000"/>
        </w:rPr>
        <w:t>“</w:t>
      </w:r>
    </w:p>
    <w:p w14:paraId="6737B812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  <w:color w:val="000000"/>
        </w:rPr>
        <w:t xml:space="preserve">Regulační funkce soudních poplatků byla zdůrazněna např. též v rozsudcích Nejvyššího správního soudu ze dne </w:t>
      </w:r>
      <w:r w:rsidRPr="00D14DE3">
        <w:rPr>
          <w:rFonts w:ascii="Garamond" w:eastAsia="Calibri" w:hAnsi="Garamond" w:cs="Garamond"/>
          <w:color w:val="000000"/>
          <w:lang w:eastAsia="en-US"/>
        </w:rPr>
        <w:t>31. 8. 2011,</w:t>
      </w:r>
      <w:r w:rsidRPr="00D14DE3">
        <w:rPr>
          <w:rFonts w:ascii="Garamond" w:hAnsi="Garamond"/>
          <w:color w:val="000000"/>
        </w:rPr>
        <w:t xml:space="preserve"> </w:t>
      </w:r>
      <w:r w:rsidRPr="00D14DE3">
        <w:rPr>
          <w:rFonts w:ascii="Garamond" w:eastAsia="Calibri" w:hAnsi="Garamond" w:cs="Garamond"/>
          <w:color w:val="000000"/>
          <w:lang w:eastAsia="en-US"/>
        </w:rPr>
        <w:t xml:space="preserve">č. j. 6 Ads 76/2011 – 22, a ze dne </w:t>
      </w:r>
      <w:r w:rsidRPr="00D14DE3">
        <w:rPr>
          <w:rFonts w:ascii="Garamond" w:hAnsi="Garamond"/>
          <w:color w:val="000000"/>
        </w:rPr>
        <w:t>14. 11. 2012, č. j. </w:t>
      </w:r>
      <w:r w:rsidRPr="00D14DE3">
        <w:rPr>
          <w:rFonts w:ascii="Garamond" w:eastAsia="Calibri" w:hAnsi="Garamond" w:cs="Garamond"/>
          <w:color w:val="000000"/>
          <w:lang w:eastAsia="en-US"/>
        </w:rPr>
        <w:t>6 </w:t>
      </w:r>
      <w:proofErr w:type="spellStart"/>
      <w:r w:rsidRPr="00D14DE3">
        <w:rPr>
          <w:rFonts w:ascii="Garamond" w:eastAsia="Calibri" w:hAnsi="Garamond" w:cs="Garamond"/>
          <w:color w:val="000000"/>
          <w:lang w:eastAsia="en-US"/>
        </w:rPr>
        <w:t>Ans</w:t>
      </w:r>
      <w:proofErr w:type="spellEnd"/>
      <w:r w:rsidRPr="00D14DE3">
        <w:rPr>
          <w:rFonts w:ascii="Garamond" w:eastAsia="Calibri" w:hAnsi="Garamond" w:cs="Garamond"/>
          <w:color w:val="000000"/>
          <w:lang w:eastAsia="en-US"/>
        </w:rPr>
        <w:t> 14/2012 – 11. V posledně uvedeném rozsudku Nejvyšší správní soud konstatoval: „</w:t>
      </w:r>
      <w:r w:rsidRPr="00D14DE3">
        <w:rPr>
          <w:rFonts w:ascii="Garamond" w:eastAsia="Calibri" w:hAnsi="Garamond" w:cs="Garamond"/>
          <w:i/>
          <w:color w:val="000000"/>
          <w:lang w:eastAsia="en-US"/>
        </w:rPr>
        <w:t>Nepřiznáním osvobození od soudních poplatků není proto stěžovateli upíráno právo na přístup k soudu v případě sporů ohledně jeho práva na informace, rovněž tím není zpochybňována jeho aktivní legitimace (neboť</w:t>
      </w:r>
      <w:r w:rsidR="008A05FF">
        <w:rPr>
          <w:rFonts w:ascii="Garamond" w:eastAsia="Calibri" w:hAnsi="Garamond" w:cs="Garamond"/>
          <w:i/>
          <w:color w:val="000000"/>
          <w:lang w:eastAsia="en-US"/>
        </w:rPr>
        <w:t> </w:t>
      </w:r>
      <w:r w:rsidRPr="00D14DE3">
        <w:rPr>
          <w:rFonts w:ascii="Garamond" w:eastAsia="Calibri" w:hAnsi="Garamond" w:cs="Garamond"/>
          <w:i/>
          <w:color w:val="000000"/>
          <w:lang w:eastAsia="en-US"/>
        </w:rPr>
        <w:t>ta by byla řešena v usnesení o odmítnutí návrhu podle ustanovení § 46 odst. 1 písm. c/ s. ř. s.), ale</w:t>
      </w:r>
      <w:r w:rsidR="008A05FF">
        <w:rPr>
          <w:rFonts w:ascii="Garamond" w:eastAsia="Calibri" w:hAnsi="Garamond" w:cs="Garamond"/>
          <w:i/>
          <w:color w:val="000000"/>
          <w:lang w:eastAsia="en-US"/>
        </w:rPr>
        <w:t> </w:t>
      </w:r>
      <w:r w:rsidRPr="00D14DE3">
        <w:rPr>
          <w:rFonts w:ascii="Garamond" w:eastAsia="Calibri" w:hAnsi="Garamond" w:cs="Garamond"/>
          <w:i/>
          <w:color w:val="000000"/>
          <w:lang w:eastAsia="en-US"/>
        </w:rPr>
        <w:t>je</w:t>
      </w:r>
      <w:r w:rsidR="008A05FF">
        <w:rPr>
          <w:rFonts w:ascii="Garamond" w:eastAsia="Calibri" w:hAnsi="Garamond" w:cs="Garamond"/>
          <w:i/>
          <w:color w:val="000000"/>
          <w:lang w:eastAsia="en-US"/>
        </w:rPr>
        <w:t> </w:t>
      </w:r>
      <w:r w:rsidRPr="00D14DE3">
        <w:rPr>
          <w:rFonts w:ascii="Garamond" w:eastAsia="Calibri" w:hAnsi="Garamond" w:cs="Garamond"/>
          <w:i/>
          <w:color w:val="000000"/>
          <w:lang w:eastAsia="en-US"/>
        </w:rPr>
        <w:t>pouze vysloveno, že pokud stěžovatel hodlá užívat svého práva na přístup k soudu takovým způsobem, že</w:t>
      </w:r>
      <w:r w:rsidR="008A05FF">
        <w:rPr>
          <w:rFonts w:ascii="Garamond" w:eastAsia="Calibri" w:hAnsi="Garamond" w:cs="Garamond"/>
          <w:i/>
          <w:color w:val="000000"/>
          <w:lang w:eastAsia="en-US"/>
        </w:rPr>
        <w:t> </w:t>
      </w:r>
      <w:r w:rsidRPr="00D14DE3">
        <w:rPr>
          <w:rFonts w:ascii="Garamond" w:eastAsia="Calibri" w:hAnsi="Garamond" w:cs="Garamond"/>
          <w:i/>
          <w:color w:val="000000"/>
          <w:lang w:eastAsia="en-US"/>
        </w:rPr>
        <w:t>brojí všemi možnými prostředky proti jakémukoli úkonu správního orgánu bez ohledu na to, aby zvážil smysluplnost a důvodnost svého počínání, je na místě trvat na tom, aby se podílel na úhradě nákladů spojených s</w:t>
      </w:r>
      <w:r w:rsidR="008A05FF">
        <w:rPr>
          <w:rFonts w:ascii="Garamond" w:eastAsia="Calibri" w:hAnsi="Garamond" w:cs="Garamond"/>
          <w:i/>
          <w:color w:val="000000"/>
          <w:lang w:eastAsia="en-US"/>
        </w:rPr>
        <w:t> </w:t>
      </w:r>
      <w:r w:rsidRPr="00D14DE3">
        <w:rPr>
          <w:rFonts w:ascii="Garamond" w:eastAsia="Calibri" w:hAnsi="Garamond" w:cs="Garamond"/>
          <w:i/>
          <w:color w:val="000000"/>
          <w:lang w:eastAsia="en-US"/>
        </w:rPr>
        <w:t>vedením takového sporu, které musí být</w:t>
      </w:r>
      <w:r w:rsidRPr="00D14DE3">
        <w:rPr>
          <w:rFonts w:ascii="Garamond" w:hAnsi="Garamond"/>
          <w:i/>
          <w:color w:val="000000"/>
        </w:rPr>
        <w:t xml:space="preserve"> </w:t>
      </w:r>
      <w:r w:rsidRPr="00D14DE3">
        <w:rPr>
          <w:rFonts w:ascii="Garamond" w:eastAsia="Calibri" w:hAnsi="Garamond" w:cs="Garamond"/>
          <w:i/>
          <w:color w:val="000000"/>
          <w:lang w:eastAsia="en-US"/>
        </w:rPr>
        <w:t>státem vynaloženy, prostřednictvím hrazení soudních poplatků.</w:t>
      </w:r>
      <w:r w:rsidRPr="00D14DE3">
        <w:rPr>
          <w:rFonts w:ascii="Garamond" w:eastAsia="Calibri" w:hAnsi="Garamond" w:cs="Garamond"/>
          <w:color w:val="000000"/>
          <w:lang w:eastAsia="en-US"/>
        </w:rPr>
        <w:t>“</w:t>
      </w:r>
    </w:p>
    <w:p w14:paraId="6737B813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Uvedené závěry Nejvyššího správního soudu tedy v plném rozsahu dopadají pouze na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soudní spory ve věcech žádostí o informace, které se nijak nedotýkají životní sféry žadatele. Městský soud však v napadeném usnesení nevycházel z obsahu citovaného rozsudku Nejvyššího správního soudu, naopak učinil obecný závěr o tom, že vyšší počet věcí stěžovatele vedených u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téhož soudu mu umožňuje odepřít dobrodiní osvobození od soudních poplatků, aniž by zjišťoval (až na jediný uváděný příklad), o jaké konkrétní věci se jedná a zda se týkají či týkaly životní sféry stěžovatele. Odůvodnění městského soudu lze považovat za nepřípustnou generalizaci závěrů uvedených v citovaném rozsudku Nejvyššího správního soudu. Městský soud na základě takto zobecněného závěru nebyl oprávněn nepřiznat stěžovateli osvobození od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soudních poplatků.</w:t>
      </w:r>
    </w:p>
    <w:p w14:paraId="6737B814" w14:textId="77777777" w:rsidR="00D14DE3" w:rsidRPr="00D14DE3" w:rsidRDefault="00D14DE3" w:rsidP="00D14DE3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  <w:bCs/>
        </w:rPr>
      </w:pPr>
      <w:r w:rsidRPr="00D14DE3">
        <w:rPr>
          <w:rFonts w:ascii="Garamond" w:hAnsi="Garamond"/>
        </w:rPr>
        <w:t>Městskému soudu přitom současně muselo být z vlastní úřední činnosti zřejmé, že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se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žaloba týká žádosti o informaci o velikosti cel ve věznici, v níž stěžovatel pobývá, což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 xml:space="preserve">vyplývá i ze shrnutí předchozího řízení uvedeného v napadeném usnesení a rovněž ze spisu </w:t>
      </w:r>
      <w:r w:rsidRPr="00D14DE3">
        <w:rPr>
          <w:rFonts w:ascii="Garamond" w:hAnsi="Garamond"/>
        </w:rPr>
        <w:lastRenderedPageBreak/>
        <w:t>městského soudu, v němž je založeno samotné usnesení Městského soudu v Praze ze dne 29.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9.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>2020, č. j. 10 A 89/2020 – 20, o odmítnutí původní žaloby a jejím postoupení jakožto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 xml:space="preserve">stížnosti ve smyslu § 16a odst. 1 písm. c) zákona o svobodném přístupu k informacím žalované. Je tedy zřejmé, že daná věc se dotýká stěžovatelovy „životní sféry“ ve smyslu citovaného </w:t>
      </w:r>
      <w:r w:rsidRPr="00D14DE3">
        <w:rPr>
          <w:rFonts w:ascii="Garamond" w:hAnsi="Garamond"/>
          <w:color w:val="000000"/>
        </w:rPr>
        <w:t>rozsudku Nejvyššího správního soud ze dne 26. 10. 2011, č. j. 7 As 101/2011 – 66, a</w:t>
      </w:r>
      <w:r w:rsidR="008A05FF">
        <w:rPr>
          <w:rFonts w:ascii="Garamond" w:hAnsi="Garamond"/>
          <w:color w:val="000000"/>
        </w:rPr>
        <w:t> </w:t>
      </w:r>
      <w:r w:rsidRPr="00D14DE3">
        <w:rPr>
          <w:rFonts w:ascii="Garamond" w:hAnsi="Garamond"/>
          <w:color w:val="000000"/>
        </w:rPr>
        <w:t>pokud tedy městský soud odůvodnil zamítnutí žádosti o osvobození od soudních poplatků a</w:t>
      </w:r>
      <w:r w:rsidR="008A05FF">
        <w:rPr>
          <w:rFonts w:ascii="Garamond" w:hAnsi="Garamond"/>
          <w:color w:val="000000"/>
        </w:rPr>
        <w:t> </w:t>
      </w:r>
      <w:r w:rsidRPr="00D14DE3">
        <w:rPr>
          <w:rFonts w:ascii="Garamond" w:hAnsi="Garamond"/>
          <w:color w:val="000000"/>
        </w:rPr>
        <w:t>návrhu na ustanovení zástupce pouze odkazem na uvedený judikát, nemůže jeho rozhodnutí obstát.</w:t>
      </w:r>
    </w:p>
    <w:p w14:paraId="6737B815" w14:textId="77777777" w:rsidR="007133B5" w:rsidRDefault="007133B5" w:rsidP="00D14DE3">
      <w:pPr>
        <w:keepNext/>
        <w:tabs>
          <w:tab w:val="center" w:pos="284"/>
        </w:tabs>
        <w:spacing w:before="480"/>
        <w:contextualSpacing/>
        <w:jc w:val="center"/>
        <w:rPr>
          <w:rFonts w:ascii="Garamond" w:hAnsi="Garamond"/>
          <w:b/>
          <w:u w:val="single"/>
        </w:rPr>
      </w:pPr>
    </w:p>
    <w:p w14:paraId="6737B816" w14:textId="77777777" w:rsidR="00D14DE3" w:rsidRPr="00D14DE3" w:rsidRDefault="007133B5" w:rsidP="007133B5">
      <w:pPr>
        <w:keepNext/>
        <w:spacing w:before="480"/>
        <w:contextualSpacing/>
        <w:jc w:val="center"/>
        <w:rPr>
          <w:rFonts w:ascii="Garamond" w:hAnsi="Garamond"/>
          <w:b/>
          <w:u w:val="single"/>
        </w:rPr>
      </w:pPr>
      <w:r w:rsidRPr="007133B5">
        <w:rPr>
          <w:rFonts w:ascii="Garamond" w:hAnsi="Garamond"/>
          <w:b/>
        </w:rPr>
        <w:t>IV.</w:t>
      </w:r>
      <w:r w:rsidR="00D14DE3" w:rsidRPr="00D14DE3">
        <w:rPr>
          <w:rFonts w:ascii="Garamond" w:hAnsi="Garamond"/>
          <w:b/>
        </w:rPr>
        <w:br/>
      </w:r>
      <w:r w:rsidR="00D14DE3" w:rsidRPr="00D14DE3">
        <w:rPr>
          <w:rFonts w:ascii="Garamond" w:hAnsi="Garamond"/>
          <w:b/>
          <w:u w:val="single"/>
        </w:rPr>
        <w:t>Závěr a náklady řízení</w:t>
      </w:r>
    </w:p>
    <w:p w14:paraId="6737B817" w14:textId="77777777" w:rsidR="00D14DE3" w:rsidRPr="00D14DE3" w:rsidRDefault="00D14DE3" w:rsidP="007133B5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>Nejvyšší správní soud shledal kasační stížnost ve výše vymezeném rozsahu důvodnou, a proto napadené usnesení městského soudu dle § 110 odst. 1 s. ř. s. zrušil a věc mu vrátil k</w:t>
      </w:r>
      <w:r w:rsidR="008A05FF">
        <w:rPr>
          <w:rFonts w:ascii="Garamond" w:hAnsi="Garamond"/>
        </w:rPr>
        <w:t> </w:t>
      </w:r>
      <w:r w:rsidRPr="00D14DE3">
        <w:rPr>
          <w:rFonts w:ascii="Garamond" w:hAnsi="Garamond"/>
        </w:rPr>
        <w:t xml:space="preserve">dalšímu řízení. V něm bude městský soud vázán právním názorem vysloveným Nejvyšším správním soudem v tomto rozsudku (§ 110 odst. 4 s. ř. s.). </w:t>
      </w:r>
    </w:p>
    <w:p w14:paraId="6737B818" w14:textId="77777777" w:rsidR="00D14DE3" w:rsidRDefault="00D14DE3" w:rsidP="007133B5">
      <w:pPr>
        <w:numPr>
          <w:ilvl w:val="0"/>
          <w:numId w:val="47"/>
        </w:numPr>
        <w:spacing w:before="240"/>
        <w:ind w:left="0" w:firstLine="0"/>
        <w:jc w:val="both"/>
        <w:rPr>
          <w:rFonts w:ascii="Garamond" w:hAnsi="Garamond"/>
        </w:rPr>
      </w:pPr>
      <w:r w:rsidRPr="00D14DE3">
        <w:rPr>
          <w:rFonts w:ascii="Garamond" w:hAnsi="Garamond"/>
        </w:rPr>
        <w:t xml:space="preserve">O náhradě nákladů řízení o kasační stížnosti rozhodne městský soud v konečném rozhodnutí v této věci (§ 110 odst. 3 s. ř. s.).  </w:t>
      </w:r>
    </w:p>
    <w:p w14:paraId="6737B819" w14:textId="77777777" w:rsidR="007133B5" w:rsidRPr="00D14DE3" w:rsidRDefault="007133B5" w:rsidP="007133B5">
      <w:pPr>
        <w:spacing w:before="240"/>
        <w:jc w:val="both"/>
        <w:rPr>
          <w:rFonts w:ascii="Garamond" w:hAnsi="Garamond"/>
        </w:rPr>
      </w:pPr>
    </w:p>
    <w:p w14:paraId="6737B81A" w14:textId="77777777" w:rsidR="00D14DE3" w:rsidRDefault="00D14DE3" w:rsidP="007133B5">
      <w:pPr>
        <w:tabs>
          <w:tab w:val="left" w:pos="1440"/>
        </w:tabs>
        <w:ind w:left="1440" w:hanging="1440"/>
        <w:jc w:val="both"/>
        <w:rPr>
          <w:rFonts w:ascii="Garamond" w:hAnsi="Garamond"/>
        </w:rPr>
      </w:pPr>
      <w:r w:rsidRPr="00D14DE3">
        <w:rPr>
          <w:rFonts w:ascii="Garamond" w:hAnsi="Garamond"/>
          <w:b/>
          <w:spacing w:val="60"/>
        </w:rPr>
        <w:t>Poučení:</w:t>
      </w:r>
      <w:r w:rsidRPr="00D14DE3">
        <w:rPr>
          <w:rFonts w:ascii="Garamond" w:hAnsi="Garamond"/>
        </w:rPr>
        <w:t xml:space="preserve"> </w:t>
      </w:r>
      <w:r w:rsidRPr="00D14DE3">
        <w:rPr>
          <w:rFonts w:ascii="Garamond" w:hAnsi="Garamond"/>
        </w:rPr>
        <w:tab/>
        <w:t>Proti tomuto rozsudku</w:t>
      </w:r>
      <w:r w:rsidRPr="00D14DE3">
        <w:rPr>
          <w:rFonts w:ascii="Garamond" w:hAnsi="Garamond"/>
          <w:b/>
          <w:spacing w:val="60"/>
        </w:rPr>
        <w:t xml:space="preserve"> nejsou </w:t>
      </w:r>
      <w:r w:rsidRPr="00D14DE3">
        <w:rPr>
          <w:rFonts w:ascii="Garamond" w:hAnsi="Garamond"/>
        </w:rPr>
        <w:t>opravné prostředky přípustné (§</w:t>
      </w:r>
      <w:r w:rsidR="007133B5">
        <w:rPr>
          <w:rFonts w:ascii="Garamond" w:hAnsi="Garamond"/>
        </w:rPr>
        <w:t> </w:t>
      </w:r>
      <w:r w:rsidRPr="00D14DE3">
        <w:rPr>
          <w:rFonts w:ascii="Garamond" w:hAnsi="Garamond"/>
        </w:rPr>
        <w:t>53 odst. 3, § 120 s. ř. s.).</w:t>
      </w:r>
    </w:p>
    <w:p w14:paraId="6737B81B" w14:textId="77777777" w:rsidR="007133B5" w:rsidRDefault="007133B5" w:rsidP="007133B5">
      <w:pPr>
        <w:tabs>
          <w:tab w:val="left" w:pos="1440"/>
        </w:tabs>
        <w:ind w:left="1440" w:hanging="1440"/>
        <w:jc w:val="both"/>
        <w:rPr>
          <w:rFonts w:ascii="Garamond" w:hAnsi="Garamond"/>
        </w:rPr>
      </w:pPr>
    </w:p>
    <w:p w14:paraId="6737B81C" w14:textId="77777777" w:rsidR="007133B5" w:rsidRPr="00D14DE3" w:rsidRDefault="007133B5" w:rsidP="007133B5">
      <w:pPr>
        <w:tabs>
          <w:tab w:val="left" w:pos="1440"/>
        </w:tabs>
        <w:ind w:left="1440" w:hanging="1440"/>
        <w:jc w:val="both"/>
        <w:rPr>
          <w:rFonts w:ascii="Garamond" w:hAnsi="Garamond"/>
        </w:rPr>
      </w:pPr>
    </w:p>
    <w:p w14:paraId="6737B81D" w14:textId="77777777" w:rsidR="00D14DE3" w:rsidRDefault="00D14DE3" w:rsidP="007133B5">
      <w:pPr>
        <w:jc w:val="center"/>
        <w:rPr>
          <w:rFonts w:ascii="Garamond" w:hAnsi="Garamond"/>
        </w:rPr>
      </w:pPr>
      <w:r w:rsidRPr="00D14DE3">
        <w:rPr>
          <w:rFonts w:ascii="Garamond" w:hAnsi="Garamond"/>
        </w:rPr>
        <w:t xml:space="preserve">V Brně dne </w:t>
      </w:r>
      <w:r>
        <w:rPr>
          <w:rFonts w:ascii="Garamond" w:hAnsi="Garamond"/>
        </w:rPr>
        <w:t>27</w:t>
      </w:r>
      <w:r w:rsidRPr="00D14DE3">
        <w:rPr>
          <w:rFonts w:ascii="Garamond" w:hAnsi="Garamond"/>
        </w:rPr>
        <w:t>. srpna 2021</w:t>
      </w:r>
    </w:p>
    <w:p w14:paraId="6737B81E" w14:textId="77777777" w:rsidR="00D14DE3" w:rsidRDefault="00D14DE3" w:rsidP="007133B5">
      <w:pPr>
        <w:jc w:val="center"/>
        <w:rPr>
          <w:rFonts w:ascii="Garamond" w:hAnsi="Garamond"/>
        </w:rPr>
      </w:pPr>
    </w:p>
    <w:p w14:paraId="6737B81F" w14:textId="77777777" w:rsidR="00D14DE3" w:rsidRDefault="00D14DE3" w:rsidP="007133B5">
      <w:pPr>
        <w:jc w:val="center"/>
        <w:rPr>
          <w:rFonts w:ascii="Garamond" w:hAnsi="Garamond"/>
        </w:rPr>
      </w:pPr>
    </w:p>
    <w:p w14:paraId="6737B820" w14:textId="77777777" w:rsidR="00D14DE3" w:rsidRPr="00D14DE3" w:rsidRDefault="00D14DE3" w:rsidP="007133B5">
      <w:pPr>
        <w:jc w:val="center"/>
        <w:rPr>
          <w:rFonts w:ascii="Garamond" w:hAnsi="Garamond"/>
        </w:rPr>
      </w:pPr>
    </w:p>
    <w:p w14:paraId="6737B821" w14:textId="109814E6" w:rsidR="00D14DE3" w:rsidRDefault="00D14DE3" w:rsidP="007133B5">
      <w:pPr>
        <w:ind w:left="4536"/>
        <w:jc w:val="center"/>
        <w:rPr>
          <w:rFonts w:ascii="Garamond" w:hAnsi="Garamond"/>
        </w:rPr>
      </w:pPr>
      <w:r w:rsidRPr="00D14DE3">
        <w:rPr>
          <w:rFonts w:ascii="Garamond" w:hAnsi="Garamond"/>
        </w:rPr>
        <w:t>JUDr. Jakub Camrda</w:t>
      </w:r>
    </w:p>
    <w:p w14:paraId="6737B822" w14:textId="77777777" w:rsidR="00D14DE3" w:rsidRPr="00D14DE3" w:rsidRDefault="00D14DE3" w:rsidP="007133B5">
      <w:pPr>
        <w:ind w:left="4536"/>
        <w:jc w:val="center"/>
        <w:rPr>
          <w:rFonts w:ascii="Garamond" w:hAnsi="Garamond"/>
        </w:rPr>
      </w:pPr>
      <w:r w:rsidRPr="00D14DE3">
        <w:rPr>
          <w:rFonts w:ascii="Garamond" w:hAnsi="Garamond"/>
        </w:rPr>
        <w:t>předseda senátu</w:t>
      </w:r>
    </w:p>
    <w:sectPr w:rsidR="00D14DE3" w:rsidRPr="00D14DE3" w:rsidSect="007133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7B82D" w14:textId="77777777" w:rsidR="00AD2ADA" w:rsidRDefault="00AD2ADA" w:rsidP="00D40A7C">
      <w:r>
        <w:separator/>
      </w:r>
    </w:p>
  </w:endnote>
  <w:endnote w:type="continuationSeparator" w:id="0">
    <w:p w14:paraId="6737B82E" w14:textId="77777777" w:rsidR="00AD2ADA" w:rsidRDefault="00AD2ADA" w:rsidP="00D4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99AF3" w14:textId="77777777" w:rsidR="004A2BC7" w:rsidRDefault="004A2B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55E97" w14:textId="77777777" w:rsidR="004A2BC7" w:rsidRDefault="004A2B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9F569" w14:textId="77777777" w:rsidR="004A2BC7" w:rsidRDefault="004A2B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7B82B" w14:textId="77777777" w:rsidR="00AD2ADA" w:rsidRDefault="00AD2ADA" w:rsidP="00D40A7C">
      <w:r>
        <w:separator/>
      </w:r>
    </w:p>
  </w:footnote>
  <w:footnote w:type="continuationSeparator" w:id="0">
    <w:p w14:paraId="6737B82C" w14:textId="77777777" w:rsidR="00AD2ADA" w:rsidRDefault="00AD2ADA" w:rsidP="00D40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7B82F" w14:textId="77777777" w:rsidR="00AD2ADA" w:rsidRPr="00823C6F" w:rsidRDefault="00547C38" w:rsidP="00823C6F">
    <w:pPr>
      <w:pStyle w:val="Zhlav"/>
      <w:jc w:val="right"/>
    </w:pPr>
    <w:r>
      <w:rPr>
        <w:rFonts w:ascii="Garamond" w:hAnsi="Garamond"/>
      </w:rPr>
      <w:t>5</w:t>
    </w:r>
    <w:r w:rsidR="00142F02">
      <w:rPr>
        <w:rFonts w:ascii="Garamond" w:hAnsi="Garamond"/>
      </w:rPr>
      <w:t xml:space="preserve"> A</w:t>
    </w:r>
    <w:r w:rsidR="00823C6F">
      <w:rPr>
        <w:rFonts w:ascii="Garamond" w:hAnsi="Garamond"/>
      </w:rPr>
      <w:t xml:space="preserve">s </w:t>
    </w:r>
    <w:r w:rsidR="00D501EF">
      <w:rPr>
        <w:rFonts w:ascii="Garamond" w:hAnsi="Garamond"/>
      </w:rPr>
      <w:t>1</w:t>
    </w:r>
    <w:r w:rsidR="00D14DE3">
      <w:rPr>
        <w:rFonts w:ascii="Garamond" w:hAnsi="Garamond"/>
      </w:rPr>
      <w:t>99</w:t>
    </w:r>
    <w:r w:rsidR="00823C6F">
      <w:rPr>
        <w:rFonts w:ascii="Garamond" w:hAnsi="Garamond"/>
      </w:rPr>
      <w:t>/20</w:t>
    </w:r>
    <w:r w:rsidR="00F922C7">
      <w:rPr>
        <w:rFonts w:ascii="Garamond" w:hAnsi="Garamond"/>
      </w:rPr>
      <w:t>2</w:t>
    </w:r>
    <w:r w:rsidR="00035E9A">
      <w:rPr>
        <w:rFonts w:ascii="Garamond" w:hAnsi="Garamond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7B830" w14:textId="77777777" w:rsidR="00AD2ADA" w:rsidRDefault="00547C38" w:rsidP="00D4314E">
    <w:pPr>
      <w:pStyle w:val="Zhlav"/>
      <w:ind w:left="1080"/>
      <w:jc w:val="right"/>
      <w:rPr>
        <w:rFonts w:ascii="Garamond" w:hAnsi="Garamond"/>
      </w:rPr>
    </w:pPr>
    <w:r>
      <w:rPr>
        <w:rFonts w:ascii="Garamond" w:hAnsi="Garamond"/>
      </w:rPr>
      <w:t>5</w:t>
    </w:r>
    <w:r w:rsidR="00142F02">
      <w:rPr>
        <w:rFonts w:ascii="Garamond" w:hAnsi="Garamond"/>
      </w:rPr>
      <w:t xml:space="preserve"> A</w:t>
    </w:r>
    <w:r w:rsidR="00866465">
      <w:rPr>
        <w:rFonts w:ascii="Garamond" w:hAnsi="Garamond"/>
      </w:rPr>
      <w:t>s</w:t>
    </w:r>
    <w:r w:rsidR="00823C6F">
      <w:rPr>
        <w:rFonts w:ascii="Garamond" w:hAnsi="Garamond"/>
      </w:rPr>
      <w:t xml:space="preserve"> </w:t>
    </w:r>
    <w:r w:rsidR="00D501EF">
      <w:rPr>
        <w:rFonts w:ascii="Garamond" w:hAnsi="Garamond"/>
      </w:rPr>
      <w:t>1</w:t>
    </w:r>
    <w:r w:rsidR="00D14DE3">
      <w:rPr>
        <w:rFonts w:ascii="Garamond" w:hAnsi="Garamond"/>
      </w:rPr>
      <w:t>99</w:t>
    </w:r>
    <w:r w:rsidR="0079044A">
      <w:rPr>
        <w:rFonts w:ascii="Garamond" w:hAnsi="Garamond"/>
      </w:rPr>
      <w:t>/</w:t>
    </w:r>
    <w:r w:rsidR="00823C6F">
      <w:rPr>
        <w:rFonts w:ascii="Garamond" w:hAnsi="Garamond"/>
      </w:rPr>
      <w:t>20</w:t>
    </w:r>
    <w:r w:rsidR="0079044A">
      <w:rPr>
        <w:rFonts w:ascii="Garamond" w:hAnsi="Garamond"/>
      </w:rPr>
      <w:t>2</w:t>
    </w:r>
    <w:r w:rsidR="00035E9A">
      <w:rPr>
        <w:rFonts w:ascii="Garamond" w:hAnsi="Garamond"/>
      </w:rPr>
      <w:t>1</w:t>
    </w:r>
    <w:r w:rsidR="00823C6F">
      <w:rPr>
        <w:rFonts w:ascii="Garamond" w:hAnsi="Garamond"/>
      </w:rPr>
      <w:t xml:space="preserve"> </w:t>
    </w:r>
    <w:r w:rsidR="00AD2ADA" w:rsidRPr="00CE4245">
      <w:rPr>
        <w:rFonts w:ascii="Garamond" w:hAnsi="Garamond"/>
      </w:rPr>
      <w:t xml:space="preserve">- </w:t>
    </w:r>
    <w:r w:rsidR="00C14142" w:rsidRPr="00CE4245">
      <w:rPr>
        <w:rFonts w:ascii="Garamond" w:hAnsi="Garamond"/>
      </w:rPr>
      <w:fldChar w:fldCharType="begin"/>
    </w:r>
    <w:r w:rsidR="00AD2ADA" w:rsidRPr="00CE4245">
      <w:rPr>
        <w:rFonts w:ascii="Garamond" w:hAnsi="Garamond"/>
      </w:rPr>
      <w:instrText xml:space="preserve"> =</w:instrText>
    </w:r>
    <w:r w:rsidR="00EE706C">
      <w:rPr>
        <w:rFonts w:ascii="Garamond" w:hAnsi="Garamond"/>
      </w:rPr>
      <w:instrText xml:space="preserve"> </w:instrText>
    </w:r>
    <w:r w:rsidR="00D14DE3">
      <w:rPr>
        <w:rFonts w:ascii="Garamond" w:hAnsi="Garamond"/>
      </w:rPr>
      <w:instrText>24</w:instrText>
    </w:r>
    <w:r w:rsidR="00FC56FA">
      <w:rPr>
        <w:rFonts w:ascii="Garamond" w:hAnsi="Garamond"/>
      </w:rPr>
      <w:instrText xml:space="preserve"> </w:instrText>
    </w:r>
    <w:r w:rsidR="00AD2ADA" w:rsidRPr="00CE4245">
      <w:rPr>
        <w:rFonts w:ascii="Garamond" w:hAnsi="Garamond"/>
      </w:rPr>
      <w:instrText>+ INT ((</w:instrText>
    </w:r>
    <w:r w:rsidR="00C14142" w:rsidRPr="00CE4245">
      <w:rPr>
        <w:rFonts w:ascii="Garamond" w:hAnsi="Garamond"/>
      </w:rPr>
      <w:fldChar w:fldCharType="begin"/>
    </w:r>
    <w:r w:rsidR="00AD2ADA" w:rsidRPr="00CE4245">
      <w:rPr>
        <w:rFonts w:ascii="Garamond" w:hAnsi="Garamond"/>
      </w:rPr>
      <w:instrText xml:space="preserve"> PAGE</w:instrText>
    </w:r>
    <w:r w:rsidR="00C14142" w:rsidRPr="00CE4245">
      <w:rPr>
        <w:rFonts w:ascii="Garamond" w:hAnsi="Garamond"/>
      </w:rPr>
      <w:fldChar w:fldCharType="separate"/>
    </w:r>
    <w:r w:rsidR="00766FE7">
      <w:rPr>
        <w:rFonts w:ascii="Garamond" w:hAnsi="Garamond"/>
        <w:noProof/>
      </w:rPr>
      <w:instrText>5</w:instrText>
    </w:r>
    <w:r w:rsidR="00C14142" w:rsidRPr="00CE4245">
      <w:rPr>
        <w:rFonts w:ascii="Garamond" w:hAnsi="Garamond"/>
      </w:rPr>
      <w:fldChar w:fldCharType="end"/>
    </w:r>
    <w:r w:rsidR="00AD2ADA" w:rsidRPr="00CE4245">
      <w:rPr>
        <w:rFonts w:ascii="Garamond" w:hAnsi="Garamond"/>
      </w:rPr>
      <w:instrText xml:space="preserve">+1)/2)-1 </w:instrText>
    </w:r>
    <w:r w:rsidR="00C14142" w:rsidRPr="00CE4245">
      <w:rPr>
        <w:rFonts w:ascii="Garamond" w:hAnsi="Garamond"/>
      </w:rPr>
      <w:fldChar w:fldCharType="separate"/>
    </w:r>
    <w:r w:rsidR="00766FE7">
      <w:rPr>
        <w:rFonts w:ascii="Garamond" w:hAnsi="Garamond"/>
        <w:noProof/>
      </w:rPr>
      <w:t>26</w:t>
    </w:r>
    <w:r w:rsidR="00C14142" w:rsidRPr="00CE4245">
      <w:rPr>
        <w:rFonts w:ascii="Garamond" w:hAnsi="Garamond"/>
      </w:rPr>
      <w:fldChar w:fldCharType="end"/>
    </w:r>
  </w:p>
  <w:p w14:paraId="6737B831" w14:textId="77777777" w:rsidR="00AD2ADA" w:rsidRDefault="00AD2ADA" w:rsidP="00132473">
    <w:pPr>
      <w:pStyle w:val="Zhlav"/>
      <w:rPr>
        <w:rFonts w:ascii="Garamond" w:hAnsi="Garamond"/>
      </w:rPr>
    </w:pPr>
    <w:r>
      <w:rPr>
        <w:rFonts w:ascii="Garamond" w:hAnsi="Garamond"/>
      </w:rPr>
      <w:t>pokračování</w:t>
    </w:r>
  </w:p>
  <w:p w14:paraId="6737B832" w14:textId="77777777" w:rsidR="00AD2ADA" w:rsidRPr="00CE4245" w:rsidRDefault="00AD2ADA" w:rsidP="00CE4245">
    <w:pPr>
      <w:pStyle w:val="Zhlav"/>
      <w:ind w:left="1080"/>
      <w:jc w:val="right"/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7B833" w14:textId="77777777" w:rsidR="00AD2ADA" w:rsidRPr="00170D06" w:rsidRDefault="00547C38" w:rsidP="00170D06">
    <w:pPr>
      <w:pStyle w:val="Zhlav"/>
      <w:ind w:left="1080"/>
      <w:jc w:val="right"/>
      <w:rPr>
        <w:rFonts w:ascii="Garamond" w:hAnsi="Garamond"/>
      </w:rPr>
    </w:pPr>
    <w:r>
      <w:rPr>
        <w:rFonts w:ascii="Garamond" w:hAnsi="Garamond"/>
      </w:rPr>
      <w:t>5</w:t>
    </w:r>
    <w:r w:rsidR="00142F02">
      <w:rPr>
        <w:rFonts w:ascii="Garamond" w:hAnsi="Garamond"/>
      </w:rPr>
      <w:t xml:space="preserve"> A</w:t>
    </w:r>
    <w:r w:rsidR="00823C6F">
      <w:rPr>
        <w:rFonts w:ascii="Garamond" w:hAnsi="Garamond"/>
      </w:rPr>
      <w:t xml:space="preserve">s </w:t>
    </w:r>
    <w:r w:rsidR="00D501EF">
      <w:rPr>
        <w:rFonts w:ascii="Garamond" w:hAnsi="Garamond"/>
      </w:rPr>
      <w:t>1</w:t>
    </w:r>
    <w:r w:rsidR="00D14DE3">
      <w:rPr>
        <w:rFonts w:ascii="Garamond" w:hAnsi="Garamond"/>
      </w:rPr>
      <w:t>99</w:t>
    </w:r>
    <w:r w:rsidR="00823C6F">
      <w:rPr>
        <w:rFonts w:ascii="Garamond" w:hAnsi="Garamond"/>
      </w:rPr>
      <w:t>/20</w:t>
    </w:r>
    <w:r w:rsidR="00F922C7">
      <w:rPr>
        <w:rFonts w:ascii="Garamond" w:hAnsi="Garamond"/>
      </w:rPr>
      <w:t>2</w:t>
    </w:r>
    <w:r w:rsidR="002A5F9D">
      <w:rPr>
        <w:rFonts w:ascii="Garamond" w:hAnsi="Garamond"/>
      </w:rPr>
      <w:t>1</w:t>
    </w:r>
    <w:r w:rsidR="00170D06">
      <w:rPr>
        <w:rFonts w:ascii="Garamond" w:hAnsi="Garamond"/>
      </w:rPr>
      <w:t xml:space="preserve"> </w:t>
    </w:r>
    <w:r w:rsidR="00317AE3" w:rsidRPr="00CE4245">
      <w:rPr>
        <w:rFonts w:ascii="Garamond" w:hAnsi="Garamond"/>
      </w:rPr>
      <w:t xml:space="preserve">- </w:t>
    </w:r>
    <w:r w:rsidR="00317AE3" w:rsidRPr="00CE4245">
      <w:rPr>
        <w:rFonts w:ascii="Garamond" w:hAnsi="Garamond"/>
      </w:rPr>
      <w:fldChar w:fldCharType="begin"/>
    </w:r>
    <w:r w:rsidR="00317AE3" w:rsidRPr="00CE4245">
      <w:rPr>
        <w:rFonts w:ascii="Garamond" w:hAnsi="Garamond"/>
      </w:rPr>
      <w:instrText xml:space="preserve"> =</w:instrText>
    </w:r>
    <w:r w:rsidR="001427E9">
      <w:rPr>
        <w:rFonts w:ascii="Garamond" w:hAnsi="Garamond"/>
      </w:rPr>
      <w:instrText xml:space="preserve"> </w:instrText>
    </w:r>
    <w:r w:rsidR="00D14DE3">
      <w:rPr>
        <w:rFonts w:ascii="Garamond" w:hAnsi="Garamond"/>
      </w:rPr>
      <w:instrText>24</w:instrText>
    </w:r>
    <w:r w:rsidR="00317AE3" w:rsidRPr="00CE4245">
      <w:rPr>
        <w:rFonts w:ascii="Garamond" w:hAnsi="Garamond"/>
      </w:rPr>
      <w:instrText xml:space="preserve"> + INT ((</w:instrText>
    </w:r>
    <w:r w:rsidR="00317AE3" w:rsidRPr="00CE4245">
      <w:rPr>
        <w:rFonts w:ascii="Garamond" w:hAnsi="Garamond"/>
      </w:rPr>
      <w:fldChar w:fldCharType="begin"/>
    </w:r>
    <w:r w:rsidR="00317AE3" w:rsidRPr="00CE4245">
      <w:rPr>
        <w:rFonts w:ascii="Garamond" w:hAnsi="Garamond"/>
      </w:rPr>
      <w:instrText xml:space="preserve"> PAGE</w:instrText>
    </w:r>
    <w:r w:rsidR="00317AE3" w:rsidRPr="00CE4245">
      <w:rPr>
        <w:rFonts w:ascii="Garamond" w:hAnsi="Garamond"/>
      </w:rPr>
      <w:fldChar w:fldCharType="separate"/>
    </w:r>
    <w:r w:rsidR="00766FE7">
      <w:rPr>
        <w:rFonts w:ascii="Garamond" w:hAnsi="Garamond"/>
        <w:noProof/>
      </w:rPr>
      <w:instrText>1</w:instrText>
    </w:r>
    <w:r w:rsidR="00317AE3" w:rsidRPr="00CE4245">
      <w:rPr>
        <w:rFonts w:ascii="Garamond" w:hAnsi="Garamond"/>
      </w:rPr>
      <w:fldChar w:fldCharType="end"/>
    </w:r>
    <w:r w:rsidR="00317AE3" w:rsidRPr="00CE4245">
      <w:rPr>
        <w:rFonts w:ascii="Garamond" w:hAnsi="Garamond"/>
      </w:rPr>
      <w:instrText xml:space="preserve">+1)/2)-1 </w:instrText>
    </w:r>
    <w:r w:rsidR="00317AE3" w:rsidRPr="00CE4245">
      <w:rPr>
        <w:rFonts w:ascii="Garamond" w:hAnsi="Garamond"/>
      </w:rPr>
      <w:fldChar w:fldCharType="separate"/>
    </w:r>
    <w:r w:rsidR="00766FE7">
      <w:rPr>
        <w:rFonts w:ascii="Garamond" w:hAnsi="Garamond"/>
        <w:noProof/>
      </w:rPr>
      <w:t>24</w:t>
    </w:r>
    <w:r w:rsidR="00317AE3" w:rsidRPr="00CE4245">
      <w:rPr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Zkladnodstavec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E16B00"/>
    <w:multiLevelType w:val="hybridMultilevel"/>
    <w:tmpl w:val="A3628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6D623C8">
      <w:start w:val="1"/>
      <w:numFmt w:val="decimal"/>
      <w:pStyle w:val="Zkladnsslovnm"/>
      <w:lvlText w:val="[%2]"/>
      <w:lvlJc w:val="left"/>
      <w:pPr>
        <w:ind w:left="1440" w:hanging="360"/>
      </w:pPr>
      <w:rPr>
        <w:rFonts w:hint="default"/>
        <w:b w:val="0"/>
        <w:i w:val="0"/>
      </w:rPr>
    </w:lvl>
    <w:lvl w:ilvl="2" w:tplc="CF96542C">
      <w:start w:val="5"/>
      <w:numFmt w:val="bullet"/>
      <w:lvlText w:val=""/>
      <w:lvlJc w:val="left"/>
      <w:pPr>
        <w:ind w:left="2985" w:hanging="1005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0C9B"/>
    <w:multiLevelType w:val="hybridMultilevel"/>
    <w:tmpl w:val="96FA91F2"/>
    <w:lvl w:ilvl="0" w:tplc="DF682696">
      <w:start w:val="1"/>
      <w:numFmt w:val="decimal"/>
      <w:lvlText w:val="[%1]"/>
      <w:lvlJc w:val="left"/>
      <w:pPr>
        <w:ind w:left="360" w:hanging="360"/>
      </w:pPr>
      <w:rPr>
        <w:rFonts w:ascii="Garamond" w:hAnsi="Garamond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14030"/>
    <w:multiLevelType w:val="hybridMultilevel"/>
    <w:tmpl w:val="60C6ED0E"/>
    <w:lvl w:ilvl="0" w:tplc="8E246CF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45CE48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E1CDF"/>
    <w:multiLevelType w:val="hybridMultilevel"/>
    <w:tmpl w:val="64FA4E32"/>
    <w:lvl w:ilvl="0" w:tplc="69F2F330">
      <w:start w:val="1"/>
      <w:numFmt w:val="decimal"/>
      <w:lvlText w:val="[%1]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13984FAA"/>
    <w:multiLevelType w:val="hybridMultilevel"/>
    <w:tmpl w:val="65587F24"/>
    <w:lvl w:ilvl="0" w:tplc="2E724302">
      <w:start w:val="1"/>
      <w:numFmt w:val="decimal"/>
      <w:lvlText w:val="[%1]"/>
      <w:lvlJc w:val="left"/>
      <w:pPr>
        <w:ind w:left="142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7BC3B34"/>
    <w:multiLevelType w:val="hybridMultilevel"/>
    <w:tmpl w:val="26F4D246"/>
    <w:lvl w:ilvl="0" w:tplc="6F4C4236">
      <w:start w:val="1"/>
      <w:numFmt w:val="decimal"/>
      <w:pStyle w:val="odst"/>
      <w:lvlText w:val="[%1]"/>
      <w:lvlJc w:val="left"/>
      <w:pPr>
        <w:ind w:left="50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92102"/>
    <w:multiLevelType w:val="hybridMultilevel"/>
    <w:tmpl w:val="318E7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26F5D"/>
    <w:multiLevelType w:val="hybridMultilevel"/>
    <w:tmpl w:val="80B29ED6"/>
    <w:lvl w:ilvl="0" w:tplc="29E45C18">
      <w:start w:val="1"/>
      <w:numFmt w:val="upperRoman"/>
      <w:lvlText w:val="%1."/>
      <w:lvlJc w:val="left"/>
      <w:pPr>
        <w:ind w:left="1778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22833"/>
    <w:multiLevelType w:val="hybridMultilevel"/>
    <w:tmpl w:val="213C4D24"/>
    <w:lvl w:ilvl="0" w:tplc="85ACB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62DB3"/>
    <w:multiLevelType w:val="hybridMultilevel"/>
    <w:tmpl w:val="C8DE8188"/>
    <w:lvl w:ilvl="0" w:tplc="B3DC7204">
      <w:start w:val="1"/>
      <w:numFmt w:val="upperRoman"/>
      <w:lvlText w:val="%1."/>
      <w:lvlJc w:val="left"/>
      <w:pPr>
        <w:tabs>
          <w:tab w:val="num" w:pos="2422"/>
        </w:tabs>
        <w:ind w:left="2422" w:hanging="720"/>
      </w:pPr>
      <w:rPr>
        <w:rFonts w:hint="default"/>
        <w:i w:val="0"/>
      </w:rPr>
    </w:lvl>
    <w:lvl w:ilvl="1" w:tplc="5B3096F2">
      <w:start w:val="1"/>
      <w:numFmt w:val="decimal"/>
      <w:lvlText w:val="[%2]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33057C"/>
    <w:multiLevelType w:val="hybridMultilevel"/>
    <w:tmpl w:val="C4CA0BA2"/>
    <w:lvl w:ilvl="0" w:tplc="84CE62F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C446483"/>
    <w:multiLevelType w:val="hybridMultilevel"/>
    <w:tmpl w:val="2A24E9E2"/>
    <w:lvl w:ilvl="0" w:tplc="02607936">
      <w:start w:val="1"/>
      <w:numFmt w:val="decimal"/>
      <w:lvlText w:val="[%1]"/>
      <w:lvlJc w:val="left"/>
      <w:pPr>
        <w:ind w:left="2062" w:hanging="360"/>
      </w:pPr>
      <w:rPr>
        <w:rFonts w:ascii="Garamond" w:hAnsi="Garamond" w:hint="default"/>
        <w:i w:val="0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892220"/>
    <w:multiLevelType w:val="hybridMultilevel"/>
    <w:tmpl w:val="771AAF36"/>
    <w:lvl w:ilvl="0" w:tplc="55A863B2">
      <w:start w:val="1"/>
      <w:numFmt w:val="decimal"/>
      <w:pStyle w:val="Styl1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646162"/>
    <w:multiLevelType w:val="hybridMultilevel"/>
    <w:tmpl w:val="13924196"/>
    <w:lvl w:ilvl="0" w:tplc="6F381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6610F"/>
    <w:multiLevelType w:val="hybridMultilevel"/>
    <w:tmpl w:val="81AE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0C7E"/>
    <w:multiLevelType w:val="hybridMultilevel"/>
    <w:tmpl w:val="09B6C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D6891"/>
    <w:multiLevelType w:val="hybridMultilevel"/>
    <w:tmpl w:val="B6F8DE38"/>
    <w:lvl w:ilvl="0" w:tplc="25B88A9A">
      <w:start w:val="1"/>
      <w:numFmt w:val="upperRoman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A133AC"/>
    <w:multiLevelType w:val="hybridMultilevel"/>
    <w:tmpl w:val="4BB6D9D8"/>
    <w:lvl w:ilvl="0" w:tplc="08CCE944">
      <w:start w:val="1"/>
      <w:numFmt w:val="decimal"/>
      <w:lvlText w:val="[%1]"/>
      <w:lvlJc w:val="left"/>
      <w:pPr>
        <w:ind w:left="16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B5873"/>
    <w:multiLevelType w:val="hybridMultilevel"/>
    <w:tmpl w:val="FC90B65A"/>
    <w:lvl w:ilvl="0" w:tplc="65004246">
      <w:start w:val="1"/>
      <w:numFmt w:val="upperRoman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A42E4"/>
    <w:multiLevelType w:val="hybridMultilevel"/>
    <w:tmpl w:val="0A7EE862"/>
    <w:lvl w:ilvl="0" w:tplc="29CA6D12">
      <w:start w:val="1"/>
      <w:numFmt w:val="decimal"/>
      <w:lvlText w:val="[%1]"/>
      <w:lvlJc w:val="left"/>
      <w:pPr>
        <w:ind w:left="1352" w:hanging="360"/>
      </w:pPr>
      <w:rPr>
        <w:rFonts w:hint="default"/>
        <w:b w:val="0"/>
        <w:i w:val="0"/>
      </w:rPr>
    </w:lvl>
    <w:lvl w:ilvl="1" w:tplc="00B8D9DC">
      <w:start w:val="2"/>
      <w:numFmt w:val="bullet"/>
      <w:lvlText w:val=""/>
      <w:lvlJc w:val="left"/>
      <w:pPr>
        <w:ind w:left="1740" w:hanging="660"/>
      </w:pPr>
      <w:rPr>
        <w:rFonts w:ascii="Symbol" w:eastAsia="Times New Roman" w:hAnsi="Symbol" w:cs="Times New Roman" w:hint="default"/>
      </w:rPr>
    </w:lvl>
    <w:lvl w:ilvl="2" w:tplc="E60E29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B1838"/>
    <w:multiLevelType w:val="hybridMultilevel"/>
    <w:tmpl w:val="B672B7B6"/>
    <w:lvl w:ilvl="0" w:tplc="7284B41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82340"/>
    <w:multiLevelType w:val="hybridMultilevel"/>
    <w:tmpl w:val="9B4889E2"/>
    <w:lvl w:ilvl="0" w:tplc="02E085D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1AD55F5"/>
    <w:multiLevelType w:val="hybridMultilevel"/>
    <w:tmpl w:val="A170BA06"/>
    <w:lvl w:ilvl="0" w:tplc="00F2BB30">
      <w:start w:val="1"/>
      <w:numFmt w:val="decimal"/>
      <w:lvlText w:val="[%1]"/>
      <w:lvlJc w:val="left"/>
      <w:pPr>
        <w:ind w:left="14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690504B"/>
    <w:multiLevelType w:val="hybridMultilevel"/>
    <w:tmpl w:val="40A2D72C"/>
    <w:lvl w:ilvl="0" w:tplc="313A00C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F297E"/>
    <w:multiLevelType w:val="hybridMultilevel"/>
    <w:tmpl w:val="9C584D90"/>
    <w:lvl w:ilvl="0" w:tplc="7528F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6688A"/>
    <w:multiLevelType w:val="hybridMultilevel"/>
    <w:tmpl w:val="8E4C6304"/>
    <w:lvl w:ilvl="0" w:tplc="2DC06784">
      <w:start w:val="5"/>
      <w:numFmt w:val="upperRoman"/>
      <w:lvlText w:val="%1."/>
      <w:lvlJc w:val="right"/>
      <w:pPr>
        <w:ind w:left="1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F0B8A"/>
    <w:multiLevelType w:val="hybridMultilevel"/>
    <w:tmpl w:val="A7F4AD56"/>
    <w:lvl w:ilvl="0" w:tplc="D518A952">
      <w:start w:val="4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26265"/>
    <w:multiLevelType w:val="hybridMultilevel"/>
    <w:tmpl w:val="A0D8F7EC"/>
    <w:lvl w:ilvl="0" w:tplc="CED07EE0">
      <w:start w:val="1"/>
      <w:numFmt w:val="decimal"/>
      <w:lvlText w:val="[%1]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>
    <w:nsid w:val="533E3D1A"/>
    <w:multiLevelType w:val="hybridMultilevel"/>
    <w:tmpl w:val="55087BF0"/>
    <w:lvl w:ilvl="0" w:tplc="2EFE4A2E">
      <w:start w:val="1"/>
      <w:numFmt w:val="decimal"/>
      <w:lvlText w:val="[%1]"/>
      <w:lvlJc w:val="left"/>
      <w:pPr>
        <w:ind w:left="0" w:firstLine="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371E4"/>
    <w:multiLevelType w:val="hybridMultilevel"/>
    <w:tmpl w:val="9D74E910"/>
    <w:lvl w:ilvl="0" w:tplc="A364E21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11C90"/>
    <w:multiLevelType w:val="hybridMultilevel"/>
    <w:tmpl w:val="74FC7CF2"/>
    <w:lvl w:ilvl="0" w:tplc="1F2AEA74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F26CC"/>
    <w:multiLevelType w:val="hybridMultilevel"/>
    <w:tmpl w:val="D338922E"/>
    <w:lvl w:ilvl="0" w:tplc="0D586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70AF"/>
    <w:multiLevelType w:val="hybridMultilevel"/>
    <w:tmpl w:val="83A2590E"/>
    <w:lvl w:ilvl="0" w:tplc="E40AD100">
      <w:start w:val="1"/>
      <w:numFmt w:val="decimal"/>
      <w:lvlText w:val="[%1]"/>
      <w:lvlJc w:val="left"/>
      <w:pPr>
        <w:ind w:left="1559" w:hanging="708"/>
      </w:pPr>
      <w:rPr>
        <w:rFonts w:ascii="Garamond" w:hAnsi="Garamond" w:hint="default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BF4FF54">
      <w:start w:val="1"/>
      <w:numFmt w:val="lowerLetter"/>
      <w:lvlText w:val="%2."/>
      <w:lvlJc w:val="left"/>
      <w:pPr>
        <w:ind w:left="666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B042B4">
      <w:start w:val="1"/>
      <w:numFmt w:val="lowerRoman"/>
      <w:lvlText w:val="%3."/>
      <w:lvlJc w:val="left"/>
      <w:pPr>
        <w:ind w:left="1393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7411A2">
      <w:start w:val="1"/>
      <w:numFmt w:val="decimal"/>
      <w:lvlText w:val="%4."/>
      <w:lvlJc w:val="left"/>
      <w:pPr>
        <w:ind w:left="2108" w:hanging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8A6DD2">
      <w:start w:val="1"/>
      <w:numFmt w:val="lowerLetter"/>
      <w:lvlText w:val="%5."/>
      <w:lvlJc w:val="left"/>
      <w:pPr>
        <w:ind w:left="2829" w:hanging="6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45816">
      <w:start w:val="1"/>
      <w:numFmt w:val="lowerRoman"/>
      <w:lvlText w:val="%6."/>
      <w:lvlJc w:val="left"/>
      <w:pPr>
        <w:ind w:left="3556" w:hanging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A402BA">
      <w:start w:val="1"/>
      <w:numFmt w:val="decimal"/>
      <w:lvlText w:val="%7."/>
      <w:lvlJc w:val="left"/>
      <w:pPr>
        <w:ind w:left="4271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9A87A0">
      <w:start w:val="1"/>
      <w:numFmt w:val="lowerLetter"/>
      <w:lvlText w:val="%8."/>
      <w:lvlJc w:val="left"/>
      <w:pPr>
        <w:ind w:left="4992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445E2A">
      <w:start w:val="1"/>
      <w:numFmt w:val="lowerRoman"/>
      <w:lvlText w:val="%9."/>
      <w:lvlJc w:val="left"/>
      <w:pPr>
        <w:ind w:left="5718" w:hanging="4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67FD1C92"/>
    <w:multiLevelType w:val="hybridMultilevel"/>
    <w:tmpl w:val="E1A626DE"/>
    <w:lvl w:ilvl="0" w:tplc="7284B412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CF3E7B"/>
    <w:multiLevelType w:val="hybridMultilevel"/>
    <w:tmpl w:val="A79A3822"/>
    <w:lvl w:ilvl="0" w:tplc="2766FF7A">
      <w:start w:val="1"/>
      <w:numFmt w:val="bullet"/>
      <w:lvlText w:val="-"/>
      <w:lvlJc w:val="left"/>
      <w:pPr>
        <w:ind w:left="502" w:hanging="360"/>
      </w:pPr>
      <w:rPr>
        <w:rFonts w:ascii="Garamond" w:eastAsia="Times New Roman" w:hAnsi="Garamond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E6A93"/>
    <w:multiLevelType w:val="hybridMultilevel"/>
    <w:tmpl w:val="3DE031AA"/>
    <w:lvl w:ilvl="0" w:tplc="1000184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67C37DF"/>
    <w:multiLevelType w:val="hybridMultilevel"/>
    <w:tmpl w:val="5A063538"/>
    <w:lvl w:ilvl="0" w:tplc="3C28374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14283"/>
    <w:multiLevelType w:val="hybridMultilevel"/>
    <w:tmpl w:val="F5FA3BC4"/>
    <w:lvl w:ilvl="0" w:tplc="AFB09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D056B7"/>
    <w:multiLevelType w:val="hybridMultilevel"/>
    <w:tmpl w:val="D47C2AF0"/>
    <w:lvl w:ilvl="0" w:tplc="896C900E">
      <w:start w:val="1"/>
      <w:numFmt w:val="upperRoman"/>
      <w:lvlText w:val="%1."/>
      <w:lvlJc w:val="left"/>
      <w:pPr>
        <w:ind w:left="1080" w:hanging="720"/>
      </w:pPr>
      <w:rPr>
        <w:b/>
        <w:spacing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1"/>
  </w:num>
  <w:num w:numId="5">
    <w:abstractNumId w:val="19"/>
  </w:num>
  <w:num w:numId="6">
    <w:abstractNumId w:val="27"/>
  </w:num>
  <w:num w:numId="7">
    <w:abstractNumId w:val="24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7"/>
  </w:num>
  <w:num w:numId="18">
    <w:abstractNumId w:val="20"/>
  </w:num>
  <w:num w:numId="19">
    <w:abstractNumId w:val="34"/>
  </w:num>
  <w:num w:numId="20">
    <w:abstractNumId w:val="25"/>
  </w:num>
  <w:num w:numId="21">
    <w:abstractNumId w:val="5"/>
  </w:num>
  <w:num w:numId="22">
    <w:abstractNumId w:val="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8"/>
  </w:num>
  <w:num w:numId="34">
    <w:abstractNumId w:val="22"/>
  </w:num>
  <w:num w:numId="35">
    <w:abstractNumId w:val="35"/>
  </w:num>
  <w:num w:numId="3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17"/>
  </w:num>
  <w:num w:numId="42">
    <w:abstractNumId w:val="8"/>
  </w:num>
  <w:num w:numId="43">
    <w:abstractNumId w:val="39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AF"/>
    <w:rsid w:val="00005BED"/>
    <w:rsid w:val="00035E9A"/>
    <w:rsid w:val="00044F81"/>
    <w:rsid w:val="00067698"/>
    <w:rsid w:val="00070373"/>
    <w:rsid w:val="00074F9B"/>
    <w:rsid w:val="00076095"/>
    <w:rsid w:val="00091C98"/>
    <w:rsid w:val="000A7D8E"/>
    <w:rsid w:val="000B2C40"/>
    <w:rsid w:val="000C0BDA"/>
    <w:rsid w:val="000C35AB"/>
    <w:rsid w:val="000D3211"/>
    <w:rsid w:val="000D6E54"/>
    <w:rsid w:val="000E146F"/>
    <w:rsid w:val="000E16B3"/>
    <w:rsid w:val="000E5758"/>
    <w:rsid w:val="000F57B5"/>
    <w:rsid w:val="001005F4"/>
    <w:rsid w:val="001223D5"/>
    <w:rsid w:val="00132473"/>
    <w:rsid w:val="00133B60"/>
    <w:rsid w:val="001427E9"/>
    <w:rsid w:val="00142F02"/>
    <w:rsid w:val="001500D3"/>
    <w:rsid w:val="00150777"/>
    <w:rsid w:val="00151FF7"/>
    <w:rsid w:val="001524E5"/>
    <w:rsid w:val="0016502E"/>
    <w:rsid w:val="00170D06"/>
    <w:rsid w:val="001747D6"/>
    <w:rsid w:val="001772A6"/>
    <w:rsid w:val="00177BA6"/>
    <w:rsid w:val="00183140"/>
    <w:rsid w:val="001A1FE3"/>
    <w:rsid w:val="001A4318"/>
    <w:rsid w:val="001B09BA"/>
    <w:rsid w:val="001B4B67"/>
    <w:rsid w:val="001B635D"/>
    <w:rsid w:val="001B7245"/>
    <w:rsid w:val="001D1275"/>
    <w:rsid w:val="001D274A"/>
    <w:rsid w:val="001D30C6"/>
    <w:rsid w:val="001D661A"/>
    <w:rsid w:val="001E722A"/>
    <w:rsid w:val="001F70F9"/>
    <w:rsid w:val="00202FB7"/>
    <w:rsid w:val="00216289"/>
    <w:rsid w:val="00220A62"/>
    <w:rsid w:val="00221C72"/>
    <w:rsid w:val="00227E2F"/>
    <w:rsid w:val="0027135A"/>
    <w:rsid w:val="0027401D"/>
    <w:rsid w:val="00274697"/>
    <w:rsid w:val="0028080A"/>
    <w:rsid w:val="00281659"/>
    <w:rsid w:val="00285B09"/>
    <w:rsid w:val="00293857"/>
    <w:rsid w:val="002A5F9D"/>
    <w:rsid w:val="002B18FE"/>
    <w:rsid w:val="002C1D0F"/>
    <w:rsid w:val="002D28FB"/>
    <w:rsid w:val="002D7CBD"/>
    <w:rsid w:val="002E5947"/>
    <w:rsid w:val="002F5361"/>
    <w:rsid w:val="00300EDC"/>
    <w:rsid w:val="00303190"/>
    <w:rsid w:val="00317AE3"/>
    <w:rsid w:val="00332708"/>
    <w:rsid w:val="00345D76"/>
    <w:rsid w:val="00356D2C"/>
    <w:rsid w:val="003A1AFD"/>
    <w:rsid w:val="003D10C9"/>
    <w:rsid w:val="003E238E"/>
    <w:rsid w:val="003E641E"/>
    <w:rsid w:val="00405E35"/>
    <w:rsid w:val="00416D3D"/>
    <w:rsid w:val="00421D1A"/>
    <w:rsid w:val="00440EDE"/>
    <w:rsid w:val="00466528"/>
    <w:rsid w:val="00470FDF"/>
    <w:rsid w:val="00471B62"/>
    <w:rsid w:val="00482E20"/>
    <w:rsid w:val="00486121"/>
    <w:rsid w:val="004A2BC7"/>
    <w:rsid w:val="004A3933"/>
    <w:rsid w:val="004B5A33"/>
    <w:rsid w:val="004C0AED"/>
    <w:rsid w:val="004E4D85"/>
    <w:rsid w:val="004F2625"/>
    <w:rsid w:val="005067DA"/>
    <w:rsid w:val="005071D2"/>
    <w:rsid w:val="005216E6"/>
    <w:rsid w:val="005460C4"/>
    <w:rsid w:val="00547C38"/>
    <w:rsid w:val="00547D60"/>
    <w:rsid w:val="005767AA"/>
    <w:rsid w:val="005B56F8"/>
    <w:rsid w:val="005B65DB"/>
    <w:rsid w:val="005D457E"/>
    <w:rsid w:val="005E23BB"/>
    <w:rsid w:val="005F5B68"/>
    <w:rsid w:val="005F7997"/>
    <w:rsid w:val="00607B46"/>
    <w:rsid w:val="00613CCF"/>
    <w:rsid w:val="00614DC9"/>
    <w:rsid w:val="00626192"/>
    <w:rsid w:val="00627380"/>
    <w:rsid w:val="00630A66"/>
    <w:rsid w:val="0063121B"/>
    <w:rsid w:val="00635A8F"/>
    <w:rsid w:val="00651158"/>
    <w:rsid w:val="00656B87"/>
    <w:rsid w:val="00664274"/>
    <w:rsid w:val="006A2BE4"/>
    <w:rsid w:val="006B633E"/>
    <w:rsid w:val="006E5BEB"/>
    <w:rsid w:val="006E5CF1"/>
    <w:rsid w:val="007133B5"/>
    <w:rsid w:val="0071477E"/>
    <w:rsid w:val="00732BF9"/>
    <w:rsid w:val="00744692"/>
    <w:rsid w:val="00753001"/>
    <w:rsid w:val="00766FE7"/>
    <w:rsid w:val="007742E6"/>
    <w:rsid w:val="0078111A"/>
    <w:rsid w:val="0079044A"/>
    <w:rsid w:val="00794472"/>
    <w:rsid w:val="007B1128"/>
    <w:rsid w:val="007C005A"/>
    <w:rsid w:val="007C4D0E"/>
    <w:rsid w:val="007C5B7C"/>
    <w:rsid w:val="007E2AD3"/>
    <w:rsid w:val="007E7747"/>
    <w:rsid w:val="007F03E7"/>
    <w:rsid w:val="00823C6F"/>
    <w:rsid w:val="00847E62"/>
    <w:rsid w:val="00853DB7"/>
    <w:rsid w:val="0086521D"/>
    <w:rsid w:val="00866465"/>
    <w:rsid w:val="00866CB6"/>
    <w:rsid w:val="00877F75"/>
    <w:rsid w:val="008A05FF"/>
    <w:rsid w:val="008A2646"/>
    <w:rsid w:val="008B790A"/>
    <w:rsid w:val="008D29C4"/>
    <w:rsid w:val="008E6A59"/>
    <w:rsid w:val="008F00AE"/>
    <w:rsid w:val="00902ACD"/>
    <w:rsid w:val="00926974"/>
    <w:rsid w:val="00936E9D"/>
    <w:rsid w:val="009429AE"/>
    <w:rsid w:val="0095338A"/>
    <w:rsid w:val="00957AD7"/>
    <w:rsid w:val="00982827"/>
    <w:rsid w:val="009A49D6"/>
    <w:rsid w:val="009C7116"/>
    <w:rsid w:val="009D2B5A"/>
    <w:rsid w:val="009D469A"/>
    <w:rsid w:val="009D6349"/>
    <w:rsid w:val="00A0753C"/>
    <w:rsid w:val="00A23949"/>
    <w:rsid w:val="00A377BE"/>
    <w:rsid w:val="00A40DC7"/>
    <w:rsid w:val="00A53D4B"/>
    <w:rsid w:val="00A76B43"/>
    <w:rsid w:val="00A83E34"/>
    <w:rsid w:val="00A92CEE"/>
    <w:rsid w:val="00A94C37"/>
    <w:rsid w:val="00A96F69"/>
    <w:rsid w:val="00A97125"/>
    <w:rsid w:val="00AA005B"/>
    <w:rsid w:val="00AA26DD"/>
    <w:rsid w:val="00AB3F37"/>
    <w:rsid w:val="00AB60DE"/>
    <w:rsid w:val="00AB6330"/>
    <w:rsid w:val="00AC148A"/>
    <w:rsid w:val="00AD2ADA"/>
    <w:rsid w:val="00AD3B68"/>
    <w:rsid w:val="00AD4590"/>
    <w:rsid w:val="00AF3701"/>
    <w:rsid w:val="00B07BEB"/>
    <w:rsid w:val="00B3646C"/>
    <w:rsid w:val="00B43C61"/>
    <w:rsid w:val="00B4782E"/>
    <w:rsid w:val="00B526CC"/>
    <w:rsid w:val="00B5571E"/>
    <w:rsid w:val="00B65543"/>
    <w:rsid w:val="00B677FF"/>
    <w:rsid w:val="00B8421D"/>
    <w:rsid w:val="00B9742A"/>
    <w:rsid w:val="00BA67D4"/>
    <w:rsid w:val="00BC5E85"/>
    <w:rsid w:val="00BD1D7C"/>
    <w:rsid w:val="00BD5DB6"/>
    <w:rsid w:val="00BE16E9"/>
    <w:rsid w:val="00BE69CA"/>
    <w:rsid w:val="00BF1790"/>
    <w:rsid w:val="00C00228"/>
    <w:rsid w:val="00C14142"/>
    <w:rsid w:val="00C153B7"/>
    <w:rsid w:val="00C267F5"/>
    <w:rsid w:val="00C35602"/>
    <w:rsid w:val="00C45F0A"/>
    <w:rsid w:val="00C500CD"/>
    <w:rsid w:val="00C50D97"/>
    <w:rsid w:val="00C60B6E"/>
    <w:rsid w:val="00C6587B"/>
    <w:rsid w:val="00C6739A"/>
    <w:rsid w:val="00CA5E43"/>
    <w:rsid w:val="00CB3285"/>
    <w:rsid w:val="00CC69BA"/>
    <w:rsid w:val="00CD6A00"/>
    <w:rsid w:val="00CE4245"/>
    <w:rsid w:val="00D0212E"/>
    <w:rsid w:val="00D11FB0"/>
    <w:rsid w:val="00D14DE3"/>
    <w:rsid w:val="00D20717"/>
    <w:rsid w:val="00D23063"/>
    <w:rsid w:val="00D36283"/>
    <w:rsid w:val="00D40A7C"/>
    <w:rsid w:val="00D4314E"/>
    <w:rsid w:val="00D4638C"/>
    <w:rsid w:val="00D501EF"/>
    <w:rsid w:val="00D53B47"/>
    <w:rsid w:val="00D56607"/>
    <w:rsid w:val="00D57C0A"/>
    <w:rsid w:val="00D628A3"/>
    <w:rsid w:val="00D8273C"/>
    <w:rsid w:val="00D83F46"/>
    <w:rsid w:val="00D844AF"/>
    <w:rsid w:val="00D90A8D"/>
    <w:rsid w:val="00D945D1"/>
    <w:rsid w:val="00DD3345"/>
    <w:rsid w:val="00DE579B"/>
    <w:rsid w:val="00DE6F16"/>
    <w:rsid w:val="00DF2B4A"/>
    <w:rsid w:val="00E131B9"/>
    <w:rsid w:val="00E134F9"/>
    <w:rsid w:val="00E151FB"/>
    <w:rsid w:val="00E27C83"/>
    <w:rsid w:val="00E31359"/>
    <w:rsid w:val="00E40516"/>
    <w:rsid w:val="00E56672"/>
    <w:rsid w:val="00E611D4"/>
    <w:rsid w:val="00E7769E"/>
    <w:rsid w:val="00E87686"/>
    <w:rsid w:val="00EA0401"/>
    <w:rsid w:val="00EA0443"/>
    <w:rsid w:val="00EA5D3E"/>
    <w:rsid w:val="00EA7F44"/>
    <w:rsid w:val="00EB166E"/>
    <w:rsid w:val="00EC03C9"/>
    <w:rsid w:val="00EC06C2"/>
    <w:rsid w:val="00EC0FC8"/>
    <w:rsid w:val="00EC1AF1"/>
    <w:rsid w:val="00ED1777"/>
    <w:rsid w:val="00ED198A"/>
    <w:rsid w:val="00EE309F"/>
    <w:rsid w:val="00EE576E"/>
    <w:rsid w:val="00EE706C"/>
    <w:rsid w:val="00F147B6"/>
    <w:rsid w:val="00F15058"/>
    <w:rsid w:val="00F35CFC"/>
    <w:rsid w:val="00F51E3D"/>
    <w:rsid w:val="00F56E80"/>
    <w:rsid w:val="00F7616F"/>
    <w:rsid w:val="00F80CB5"/>
    <w:rsid w:val="00F922C7"/>
    <w:rsid w:val="00FA0AD5"/>
    <w:rsid w:val="00FA4329"/>
    <w:rsid w:val="00FB5A55"/>
    <w:rsid w:val="00FB6595"/>
    <w:rsid w:val="00FC56FA"/>
    <w:rsid w:val="00FD386D"/>
    <w:rsid w:val="00FF02A6"/>
    <w:rsid w:val="00FF53A2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6737B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44AF"/>
    <w:pPr>
      <w:keepNext/>
      <w:numPr>
        <w:numId w:val="1"/>
      </w:numPr>
      <w:suppressAutoHyphens/>
      <w:outlineLvl w:val="0"/>
    </w:pPr>
    <w:rPr>
      <w:b/>
      <w:b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44A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Zkladnodstavec">
    <w:name w:val="Základní odstavec"/>
    <w:basedOn w:val="Normln"/>
    <w:rsid w:val="00D844AF"/>
    <w:pPr>
      <w:numPr>
        <w:ilvl w:val="1"/>
        <w:numId w:val="1"/>
      </w:numPr>
      <w:tabs>
        <w:tab w:val="clear" w:pos="0"/>
        <w:tab w:val="num" w:pos="360"/>
      </w:tabs>
      <w:spacing w:before="60"/>
      <w:ind w:firstLine="454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747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47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7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6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8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02E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AB6330"/>
  </w:style>
  <w:style w:type="paragraph" w:styleId="Zkladntext">
    <w:name w:val="Body Text"/>
    <w:basedOn w:val="Normln"/>
    <w:link w:val="ZkladntextChar"/>
    <w:rsid w:val="00AB6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B63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45F0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B166E"/>
    <w:pPr>
      <w:jc w:val="center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16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B166E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B16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0E5758"/>
    <w:pPr>
      <w:ind w:left="720"/>
      <w:contextualSpacing/>
    </w:pPr>
    <w:rPr>
      <w:rFonts w:eastAsia="Calibri"/>
    </w:rPr>
  </w:style>
  <w:style w:type="paragraph" w:customStyle="1" w:styleId="odst">
    <w:name w:val="odst"/>
    <w:basedOn w:val="Odstavecseseznamem"/>
    <w:link w:val="odstChar"/>
    <w:qFormat/>
    <w:rsid w:val="000E5758"/>
    <w:pPr>
      <w:numPr>
        <w:numId w:val="2"/>
      </w:numPr>
      <w:contextualSpacing w:val="0"/>
      <w:jc w:val="both"/>
    </w:pPr>
    <w:rPr>
      <w:rFonts w:ascii="Garamond" w:hAnsi="Garamond"/>
    </w:rPr>
  </w:style>
  <w:style w:type="character" w:customStyle="1" w:styleId="odstChar">
    <w:name w:val="odst Char"/>
    <w:basedOn w:val="Standardnpsmoodstavce"/>
    <w:link w:val="odst"/>
    <w:rsid w:val="000E5758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textcolumn">
    <w:name w:val="textcolumn"/>
    <w:rsid w:val="00274697"/>
  </w:style>
  <w:style w:type="paragraph" w:styleId="Bezmezer">
    <w:name w:val="No Spacing"/>
    <w:uiPriority w:val="1"/>
    <w:qFormat/>
    <w:rsid w:val="0074469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mmstd">
    <w:name w:val="mm std."/>
    <w:basedOn w:val="Normln"/>
    <w:link w:val="mmstdChar"/>
    <w:rsid w:val="00E40516"/>
    <w:pPr>
      <w:suppressAutoHyphens/>
      <w:spacing w:before="60" w:after="60" w:line="180" w:lineRule="atLeast"/>
      <w:ind w:firstLine="425"/>
      <w:jc w:val="both"/>
    </w:pPr>
    <w:rPr>
      <w:rFonts w:ascii="Garamond" w:hAnsi="Garamond"/>
      <w:sz w:val="26"/>
      <w:szCs w:val="20"/>
    </w:rPr>
  </w:style>
  <w:style w:type="paragraph" w:customStyle="1" w:styleId="Vc">
    <w:name w:val="Věc:"/>
    <w:aliases w:val="Prejudikatura"/>
    <w:basedOn w:val="Normln"/>
    <w:rsid w:val="00E40516"/>
    <w:pPr>
      <w:spacing w:before="120" w:after="120"/>
      <w:ind w:left="590" w:hanging="590"/>
      <w:jc w:val="both"/>
    </w:pPr>
    <w:rPr>
      <w:rFonts w:ascii="Garamond" w:hAnsi="Garamond"/>
      <w:sz w:val="26"/>
      <w:szCs w:val="20"/>
    </w:rPr>
  </w:style>
  <w:style w:type="paragraph" w:customStyle="1" w:styleId="Styl1">
    <w:name w:val="Styl1"/>
    <w:basedOn w:val="Odstavecseseznamem"/>
    <w:link w:val="Styl1Char"/>
    <w:qFormat/>
    <w:rsid w:val="00E40516"/>
    <w:pPr>
      <w:numPr>
        <w:numId w:val="3"/>
      </w:numPr>
      <w:spacing w:before="120" w:after="120"/>
      <w:ind w:left="0" w:firstLine="0"/>
      <w:contextualSpacing w:val="0"/>
      <w:jc w:val="both"/>
    </w:pPr>
    <w:rPr>
      <w:rFonts w:ascii="Garamond" w:hAnsi="Garamond"/>
    </w:rPr>
  </w:style>
  <w:style w:type="character" w:customStyle="1" w:styleId="Styl1Char">
    <w:name w:val="Styl1 Char"/>
    <w:basedOn w:val="Standardnpsmoodstavce"/>
    <w:link w:val="Styl1"/>
    <w:rsid w:val="00E40516"/>
    <w:rPr>
      <w:rFonts w:ascii="Garamond" w:eastAsia="Times New Roman" w:hAnsi="Garamond" w:cs="Times New Roman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83140"/>
  </w:style>
  <w:style w:type="character" w:styleId="Odkaznakoment">
    <w:name w:val="annotation reference"/>
    <w:basedOn w:val="Standardnpsmoodstavce"/>
    <w:uiPriority w:val="99"/>
    <w:semiHidden/>
    <w:unhideWhenUsed/>
    <w:rsid w:val="001831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1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1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1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1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rsid w:val="00221C72"/>
    <w:pPr>
      <w:spacing w:after="225"/>
      <w:jc w:val="both"/>
    </w:pPr>
  </w:style>
  <w:style w:type="character" w:customStyle="1" w:styleId="mmstdChar">
    <w:name w:val="mm std. Char"/>
    <w:basedOn w:val="Standardnpsmoodstavce"/>
    <w:link w:val="mmstd"/>
    <w:locked/>
    <w:rsid w:val="00614DC9"/>
    <w:rPr>
      <w:rFonts w:ascii="Garamond" w:eastAsia="Times New Roman" w:hAnsi="Garamond" w:cs="Times New Roman"/>
      <w:sz w:val="26"/>
      <w:szCs w:val="20"/>
      <w:lang w:eastAsia="cs-CZ"/>
    </w:rPr>
  </w:style>
  <w:style w:type="character" w:styleId="Zdraznnjemn">
    <w:name w:val="Subtle Emphasis"/>
    <w:uiPriority w:val="19"/>
    <w:qFormat/>
    <w:rsid w:val="00E151FB"/>
    <w:rPr>
      <w:b/>
      <w:bCs/>
      <w:spacing w:val="90"/>
    </w:rPr>
  </w:style>
  <w:style w:type="character" w:styleId="Zdraznnintenzivn">
    <w:name w:val="Intense Emphasis"/>
    <w:uiPriority w:val="21"/>
    <w:qFormat/>
    <w:rsid w:val="00E151FB"/>
    <w:rPr>
      <w:b/>
      <w:bCs w:val="0"/>
      <w:spacing w:val="90"/>
      <w:sz w:val="32"/>
      <w:szCs w:val="28"/>
    </w:rPr>
  </w:style>
  <w:style w:type="paragraph" w:customStyle="1" w:styleId="mmstdcentr">
    <w:name w:val="mm std. centr"/>
    <w:basedOn w:val="mmstd"/>
    <w:next w:val="mmstd"/>
    <w:rsid w:val="009D469A"/>
    <w:pPr>
      <w:spacing w:before="120"/>
      <w:ind w:firstLine="0"/>
      <w:jc w:val="center"/>
    </w:pPr>
    <w:rPr>
      <w:spacing w:val="54"/>
    </w:rPr>
  </w:style>
  <w:style w:type="paragraph" w:customStyle="1" w:styleId="Zkladnsslovnm">
    <w:name w:val="Základní s číslováním"/>
    <w:basedOn w:val="Normln"/>
    <w:link w:val="ZkladnsslovnmChar"/>
    <w:qFormat/>
    <w:rsid w:val="00613CCF"/>
    <w:pPr>
      <w:numPr>
        <w:ilvl w:val="1"/>
        <w:numId w:val="22"/>
      </w:numPr>
      <w:tabs>
        <w:tab w:val="left" w:pos="709"/>
      </w:tabs>
      <w:jc w:val="both"/>
    </w:pPr>
    <w:rPr>
      <w:rFonts w:ascii="Garamond" w:hAnsi="Garamond"/>
    </w:rPr>
  </w:style>
  <w:style w:type="paragraph" w:customStyle="1" w:styleId="Styl2">
    <w:name w:val="Styl2"/>
    <w:basedOn w:val="Normln"/>
    <w:link w:val="Styl2Char"/>
    <w:qFormat/>
    <w:rsid w:val="00C60B6E"/>
    <w:pPr>
      <w:jc w:val="center"/>
    </w:pPr>
    <w:rPr>
      <w:rFonts w:ascii="Garamond" w:hAnsi="Garamond"/>
      <w:b/>
    </w:rPr>
  </w:style>
  <w:style w:type="character" w:customStyle="1" w:styleId="Styl2Char">
    <w:name w:val="Styl2 Char"/>
    <w:basedOn w:val="Standardnpsmoodstavce"/>
    <w:link w:val="Styl2"/>
    <w:rsid w:val="00C60B6E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NormlnGaramond">
    <w:name w:val="Normální Garamond"/>
    <w:basedOn w:val="Normln"/>
    <w:rsid w:val="00EE576E"/>
    <w:pPr>
      <w:ind w:firstLine="709"/>
      <w:jc w:val="both"/>
    </w:pPr>
    <w:rPr>
      <w:rFonts w:ascii="Garamond" w:hAnsi="Garamond"/>
    </w:rPr>
  </w:style>
  <w:style w:type="table" w:styleId="Mkatabulky">
    <w:name w:val="Table Grid"/>
    <w:basedOn w:val="Normlntabulka"/>
    <w:uiPriority w:val="59"/>
    <w:rsid w:val="00AC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sslovnmChar">
    <w:name w:val="Základní s číslováním Char"/>
    <w:basedOn w:val="Standardnpsmoodstavce"/>
    <w:link w:val="Zkladnsslovnm"/>
    <w:qFormat/>
    <w:rsid w:val="00823C6F"/>
    <w:rPr>
      <w:rFonts w:ascii="Garamond" w:eastAsia="Times New Roman" w:hAnsi="Garamond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44AF"/>
    <w:pPr>
      <w:keepNext/>
      <w:numPr>
        <w:numId w:val="1"/>
      </w:numPr>
      <w:suppressAutoHyphens/>
      <w:outlineLvl w:val="0"/>
    </w:pPr>
    <w:rPr>
      <w:b/>
      <w:b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44A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Zkladnodstavec">
    <w:name w:val="Základní odstavec"/>
    <w:basedOn w:val="Normln"/>
    <w:rsid w:val="00D844AF"/>
    <w:pPr>
      <w:numPr>
        <w:ilvl w:val="1"/>
        <w:numId w:val="1"/>
      </w:numPr>
      <w:tabs>
        <w:tab w:val="clear" w:pos="0"/>
        <w:tab w:val="num" w:pos="360"/>
      </w:tabs>
      <w:spacing w:before="60"/>
      <w:ind w:firstLine="454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747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47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7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6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8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02E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AB6330"/>
  </w:style>
  <w:style w:type="paragraph" w:styleId="Zkladntext">
    <w:name w:val="Body Text"/>
    <w:basedOn w:val="Normln"/>
    <w:link w:val="ZkladntextChar"/>
    <w:rsid w:val="00AB6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B63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45F0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B166E"/>
    <w:pPr>
      <w:jc w:val="center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16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B166E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B16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0E5758"/>
    <w:pPr>
      <w:ind w:left="720"/>
      <w:contextualSpacing/>
    </w:pPr>
    <w:rPr>
      <w:rFonts w:eastAsia="Calibri"/>
    </w:rPr>
  </w:style>
  <w:style w:type="paragraph" w:customStyle="1" w:styleId="odst">
    <w:name w:val="odst"/>
    <w:basedOn w:val="Odstavecseseznamem"/>
    <w:link w:val="odstChar"/>
    <w:qFormat/>
    <w:rsid w:val="000E5758"/>
    <w:pPr>
      <w:numPr>
        <w:numId w:val="2"/>
      </w:numPr>
      <w:contextualSpacing w:val="0"/>
      <w:jc w:val="both"/>
    </w:pPr>
    <w:rPr>
      <w:rFonts w:ascii="Garamond" w:hAnsi="Garamond"/>
    </w:rPr>
  </w:style>
  <w:style w:type="character" w:customStyle="1" w:styleId="odstChar">
    <w:name w:val="odst Char"/>
    <w:basedOn w:val="Standardnpsmoodstavce"/>
    <w:link w:val="odst"/>
    <w:rsid w:val="000E5758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textcolumn">
    <w:name w:val="textcolumn"/>
    <w:rsid w:val="00274697"/>
  </w:style>
  <w:style w:type="paragraph" w:styleId="Bezmezer">
    <w:name w:val="No Spacing"/>
    <w:uiPriority w:val="1"/>
    <w:qFormat/>
    <w:rsid w:val="0074469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mmstd">
    <w:name w:val="mm std."/>
    <w:basedOn w:val="Normln"/>
    <w:link w:val="mmstdChar"/>
    <w:rsid w:val="00E40516"/>
    <w:pPr>
      <w:suppressAutoHyphens/>
      <w:spacing w:before="60" w:after="60" w:line="180" w:lineRule="atLeast"/>
      <w:ind w:firstLine="425"/>
      <w:jc w:val="both"/>
    </w:pPr>
    <w:rPr>
      <w:rFonts w:ascii="Garamond" w:hAnsi="Garamond"/>
      <w:sz w:val="26"/>
      <w:szCs w:val="20"/>
    </w:rPr>
  </w:style>
  <w:style w:type="paragraph" w:customStyle="1" w:styleId="Vc">
    <w:name w:val="Věc:"/>
    <w:aliases w:val="Prejudikatura"/>
    <w:basedOn w:val="Normln"/>
    <w:rsid w:val="00E40516"/>
    <w:pPr>
      <w:spacing w:before="120" w:after="120"/>
      <w:ind w:left="590" w:hanging="590"/>
      <w:jc w:val="both"/>
    </w:pPr>
    <w:rPr>
      <w:rFonts w:ascii="Garamond" w:hAnsi="Garamond"/>
      <w:sz w:val="26"/>
      <w:szCs w:val="20"/>
    </w:rPr>
  </w:style>
  <w:style w:type="paragraph" w:customStyle="1" w:styleId="Styl1">
    <w:name w:val="Styl1"/>
    <w:basedOn w:val="Odstavecseseznamem"/>
    <w:link w:val="Styl1Char"/>
    <w:qFormat/>
    <w:rsid w:val="00E40516"/>
    <w:pPr>
      <w:numPr>
        <w:numId w:val="3"/>
      </w:numPr>
      <w:spacing w:before="120" w:after="120"/>
      <w:ind w:left="0" w:firstLine="0"/>
      <w:contextualSpacing w:val="0"/>
      <w:jc w:val="both"/>
    </w:pPr>
    <w:rPr>
      <w:rFonts w:ascii="Garamond" w:hAnsi="Garamond"/>
    </w:rPr>
  </w:style>
  <w:style w:type="character" w:customStyle="1" w:styleId="Styl1Char">
    <w:name w:val="Styl1 Char"/>
    <w:basedOn w:val="Standardnpsmoodstavce"/>
    <w:link w:val="Styl1"/>
    <w:rsid w:val="00E40516"/>
    <w:rPr>
      <w:rFonts w:ascii="Garamond" w:eastAsia="Times New Roman" w:hAnsi="Garamond" w:cs="Times New Roman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83140"/>
  </w:style>
  <w:style w:type="character" w:styleId="Odkaznakoment">
    <w:name w:val="annotation reference"/>
    <w:basedOn w:val="Standardnpsmoodstavce"/>
    <w:uiPriority w:val="99"/>
    <w:semiHidden/>
    <w:unhideWhenUsed/>
    <w:rsid w:val="001831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1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1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1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1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rsid w:val="00221C72"/>
    <w:pPr>
      <w:spacing w:after="225"/>
      <w:jc w:val="both"/>
    </w:pPr>
  </w:style>
  <w:style w:type="character" w:customStyle="1" w:styleId="mmstdChar">
    <w:name w:val="mm std. Char"/>
    <w:basedOn w:val="Standardnpsmoodstavce"/>
    <w:link w:val="mmstd"/>
    <w:locked/>
    <w:rsid w:val="00614DC9"/>
    <w:rPr>
      <w:rFonts w:ascii="Garamond" w:eastAsia="Times New Roman" w:hAnsi="Garamond" w:cs="Times New Roman"/>
      <w:sz w:val="26"/>
      <w:szCs w:val="20"/>
      <w:lang w:eastAsia="cs-CZ"/>
    </w:rPr>
  </w:style>
  <w:style w:type="character" w:styleId="Zdraznnjemn">
    <w:name w:val="Subtle Emphasis"/>
    <w:uiPriority w:val="19"/>
    <w:qFormat/>
    <w:rsid w:val="00E151FB"/>
    <w:rPr>
      <w:b/>
      <w:bCs/>
      <w:spacing w:val="90"/>
    </w:rPr>
  </w:style>
  <w:style w:type="character" w:styleId="Zdraznnintenzivn">
    <w:name w:val="Intense Emphasis"/>
    <w:uiPriority w:val="21"/>
    <w:qFormat/>
    <w:rsid w:val="00E151FB"/>
    <w:rPr>
      <w:b/>
      <w:bCs w:val="0"/>
      <w:spacing w:val="90"/>
      <w:sz w:val="32"/>
      <w:szCs w:val="28"/>
    </w:rPr>
  </w:style>
  <w:style w:type="paragraph" w:customStyle="1" w:styleId="mmstdcentr">
    <w:name w:val="mm std. centr"/>
    <w:basedOn w:val="mmstd"/>
    <w:next w:val="mmstd"/>
    <w:rsid w:val="009D469A"/>
    <w:pPr>
      <w:spacing w:before="120"/>
      <w:ind w:firstLine="0"/>
      <w:jc w:val="center"/>
    </w:pPr>
    <w:rPr>
      <w:spacing w:val="54"/>
    </w:rPr>
  </w:style>
  <w:style w:type="paragraph" w:customStyle="1" w:styleId="Zkladnsslovnm">
    <w:name w:val="Základní s číslováním"/>
    <w:basedOn w:val="Normln"/>
    <w:link w:val="ZkladnsslovnmChar"/>
    <w:qFormat/>
    <w:rsid w:val="00613CCF"/>
    <w:pPr>
      <w:numPr>
        <w:ilvl w:val="1"/>
        <w:numId w:val="22"/>
      </w:numPr>
      <w:tabs>
        <w:tab w:val="left" w:pos="709"/>
      </w:tabs>
      <w:jc w:val="both"/>
    </w:pPr>
    <w:rPr>
      <w:rFonts w:ascii="Garamond" w:hAnsi="Garamond"/>
    </w:rPr>
  </w:style>
  <w:style w:type="paragraph" w:customStyle="1" w:styleId="Styl2">
    <w:name w:val="Styl2"/>
    <w:basedOn w:val="Normln"/>
    <w:link w:val="Styl2Char"/>
    <w:qFormat/>
    <w:rsid w:val="00C60B6E"/>
    <w:pPr>
      <w:jc w:val="center"/>
    </w:pPr>
    <w:rPr>
      <w:rFonts w:ascii="Garamond" w:hAnsi="Garamond"/>
      <w:b/>
    </w:rPr>
  </w:style>
  <w:style w:type="character" w:customStyle="1" w:styleId="Styl2Char">
    <w:name w:val="Styl2 Char"/>
    <w:basedOn w:val="Standardnpsmoodstavce"/>
    <w:link w:val="Styl2"/>
    <w:rsid w:val="00C60B6E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NormlnGaramond">
    <w:name w:val="Normální Garamond"/>
    <w:basedOn w:val="Normln"/>
    <w:rsid w:val="00EE576E"/>
    <w:pPr>
      <w:ind w:firstLine="709"/>
      <w:jc w:val="both"/>
    </w:pPr>
    <w:rPr>
      <w:rFonts w:ascii="Garamond" w:hAnsi="Garamond"/>
    </w:rPr>
  </w:style>
  <w:style w:type="table" w:styleId="Mkatabulky">
    <w:name w:val="Table Grid"/>
    <w:basedOn w:val="Normlntabulka"/>
    <w:uiPriority w:val="59"/>
    <w:rsid w:val="00AC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sslovnmChar">
    <w:name w:val="Základní s číslováním Char"/>
    <w:basedOn w:val="Standardnpsmoodstavce"/>
    <w:link w:val="Zkladnsslovnm"/>
    <w:qFormat/>
    <w:rsid w:val="00823C6F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D2432C90FF54686E01B26E40AA861" ma:contentTypeVersion="0" ma:contentTypeDescription="Vytvoří nový dokument" ma:contentTypeScope="" ma:versionID="39d76f62e13af19f95ed609b8ce135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A8C7-CFD9-4591-8469-347628CC51F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6F9BE4-42FA-4998-B845-01BBF73D9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23F0D-914D-4947-BD94-ECEC0A3AB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4EEA5-7DA4-4AC3-B4E1-ADF57BD0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2212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2022-08-20T08:44:00Z</dcterms:created>
  <dcterms:modified xsi:type="dcterms:W3CDTF">2022-08-20T08:44:00Z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0x0101000A9D2432C90FF54686E01B26E40AA861</vt:lpwstr>
  </property>
</Properties>
</file>